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609" w:rsidRDefault="00F225FA" w:rsidP="00BA102F">
      <w:pPr>
        <w:spacing w:before="100" w:beforeAutospacing="1" w:after="100" w:afterAutospacing="1" w:line="240" w:lineRule="auto"/>
        <w:jc w:val="center"/>
        <w:rPr>
          <w:rFonts w:ascii="Verdana" w:eastAsia="Times New Roman" w:hAnsi="Verdana" w:cs="Times New Roman"/>
          <w:b/>
          <w:sz w:val="20"/>
          <w:szCs w:val="20"/>
          <w:u w:val="single"/>
          <w:lang w:eastAsia="es-AR"/>
        </w:rPr>
      </w:pPr>
      <w:r>
        <w:rPr>
          <w:rFonts w:ascii="Verdana" w:eastAsia="Times New Roman" w:hAnsi="Verdana" w:cs="Times New Roman"/>
          <w:b/>
          <w:sz w:val="20"/>
          <w:szCs w:val="20"/>
          <w:u w:val="single"/>
          <w:lang w:eastAsia="es-AR"/>
        </w:rPr>
        <w:t>PREVISION PARA DEUDORES INCOBRABLES</w:t>
      </w:r>
    </w:p>
    <w:p w:rsidR="0099567F" w:rsidRDefault="00577105" w:rsidP="003F6360">
      <w:pPr>
        <w:jc w:val="both"/>
        <w:rPr>
          <w:rFonts w:ascii="Verdana" w:hAnsi="Verdana"/>
          <w:sz w:val="20"/>
          <w:szCs w:val="20"/>
        </w:rPr>
      </w:pPr>
      <w:r>
        <w:rPr>
          <w:rFonts w:ascii="Verdana" w:hAnsi="Verdana"/>
          <w:sz w:val="20"/>
          <w:szCs w:val="20"/>
        </w:rPr>
        <w:t>Otro de los rubros que forman parte del Activo de la empresa es el llamado CREDITOS, que incluye entre otros a los Deudores por Ventas, Documentos a Cobrar, Deudores Morosos, Deudores en Gestión Judicial, Documentos Descontados, etc; también en este rubro y como forma de reflejar razonablemente la situación patrimonial del ente en un momento determinado es que se calcula una PREVISION PARA DEUDORES INCOBRABLES</w:t>
      </w:r>
      <w:r w:rsidR="00AB5111">
        <w:rPr>
          <w:rFonts w:ascii="Verdana" w:hAnsi="Verdana"/>
          <w:sz w:val="20"/>
          <w:szCs w:val="20"/>
        </w:rPr>
        <w:t xml:space="preserve">, que es esto?? </w:t>
      </w:r>
      <w:bookmarkStart w:id="0" w:name="_GoBack"/>
      <w:bookmarkEnd w:id="0"/>
    </w:p>
    <w:p w:rsidR="00AB5111" w:rsidRDefault="00AB5111" w:rsidP="003F6360">
      <w:pPr>
        <w:jc w:val="both"/>
        <w:rPr>
          <w:rFonts w:ascii="Verdana" w:hAnsi="Verdana"/>
          <w:sz w:val="20"/>
          <w:szCs w:val="20"/>
        </w:rPr>
      </w:pPr>
      <w:r>
        <w:rPr>
          <w:rFonts w:ascii="Verdana" w:hAnsi="Verdana"/>
          <w:sz w:val="20"/>
          <w:szCs w:val="20"/>
        </w:rPr>
        <w:t>El ejercicio económico dura un año, y generalmente año calendario es igual al año contable, o sea que inicia el 1/1 y finaliza el 31/12, ahora bien, sabemos que la mayoría de los Deudores por Ventas del ejercicio son por Ventas que se producen en el ejercicio, y sabemos que un Deudor por Ventas que se encuentra en mora por no haber cancelado esa deuda para con nosotros cambia de estad</w:t>
      </w:r>
      <w:r w:rsidR="00FF770D">
        <w:rPr>
          <w:rFonts w:ascii="Verdana" w:hAnsi="Verdana"/>
          <w:sz w:val="20"/>
          <w:szCs w:val="20"/>
        </w:rPr>
        <w:t>i</w:t>
      </w:r>
      <w:r>
        <w:rPr>
          <w:rFonts w:ascii="Verdana" w:hAnsi="Verdana"/>
          <w:sz w:val="20"/>
          <w:szCs w:val="20"/>
        </w:rPr>
        <w:t xml:space="preserve">o y contablemente reflejamos esa mora llamando ahora Deudores Morosos a esos clientes que en primer momento llamamos contablemente Deudores por Ventas, y sabemos que si hay Deudores Morosos a los cuales no podemos cobrarle </w:t>
      </w:r>
      <w:r w:rsidR="001563D6">
        <w:rPr>
          <w:rFonts w:ascii="Verdana" w:hAnsi="Verdana"/>
          <w:sz w:val="20"/>
          <w:szCs w:val="20"/>
        </w:rPr>
        <w:t>seguramente luego los intimaremos judicialmente, es decir también cambian de estad</w:t>
      </w:r>
      <w:r w:rsidR="00FF770D">
        <w:rPr>
          <w:rFonts w:ascii="Verdana" w:hAnsi="Verdana"/>
          <w:sz w:val="20"/>
          <w:szCs w:val="20"/>
        </w:rPr>
        <w:t>i</w:t>
      </w:r>
      <w:r w:rsidR="001563D6">
        <w:rPr>
          <w:rFonts w:ascii="Verdana" w:hAnsi="Verdana"/>
          <w:sz w:val="20"/>
          <w:szCs w:val="20"/>
        </w:rPr>
        <w:t>o y contablemente pasaran a ser Deudores en Gestión Judicial; vemos que de un simple Deudor por Ventas ahora tenemos Deudores Judicializados y ni hablar que alguno de ellos se haga DEUDOR INCOBRABLE (posibilidad muy cierta)</w:t>
      </w:r>
      <w:r w:rsidR="00923181">
        <w:rPr>
          <w:rFonts w:ascii="Verdana" w:hAnsi="Verdana"/>
          <w:sz w:val="20"/>
          <w:szCs w:val="20"/>
        </w:rPr>
        <w:t>;</w:t>
      </w:r>
      <w:r w:rsidR="001563D6">
        <w:rPr>
          <w:rFonts w:ascii="Verdana" w:hAnsi="Verdana"/>
          <w:sz w:val="20"/>
          <w:szCs w:val="20"/>
        </w:rPr>
        <w:t xml:space="preserve"> las tres posibilidades de Deudores (por Ventas, Morosos, y en Gestion Judicial) son cuentas de ACTIVO pero los DEUDORES INCOBRABLES </w:t>
      </w:r>
      <w:r w:rsidR="00FF770D">
        <w:rPr>
          <w:rFonts w:ascii="Verdana" w:hAnsi="Verdana"/>
          <w:sz w:val="20"/>
          <w:szCs w:val="20"/>
        </w:rPr>
        <w:t xml:space="preserve">es </w:t>
      </w:r>
      <w:r w:rsidR="001563D6">
        <w:rPr>
          <w:rFonts w:ascii="Verdana" w:hAnsi="Verdana"/>
          <w:sz w:val="20"/>
          <w:szCs w:val="20"/>
        </w:rPr>
        <w:t xml:space="preserve">una cuenta de Resultado Negativo (Perdida), entonces </w:t>
      </w:r>
      <w:r w:rsidR="00FF770D">
        <w:rPr>
          <w:rFonts w:ascii="Verdana" w:hAnsi="Verdana"/>
          <w:sz w:val="20"/>
          <w:szCs w:val="20"/>
        </w:rPr>
        <w:t>como parte de esos Deudores Incobrables pueden llegar a darse o concretarse en el año siguiente o en los años siguientes al que está finalizando, es que al cierre del ejercicio calculamos una previsión para Deudores Incobrables que lo que busca es reflejar que el Resultado Negativo de los Deudores Incobrables es por Ventas de este ejercicio y no debemos castigar ejercicios siguientes con pérdidas de este ejercicio, por el mismo motivo que ya hemos explicado que la Contabilidad debe reflejar razonablemente la situación patrimonial del ente en un momento determinado.</w:t>
      </w:r>
    </w:p>
    <w:p w:rsidR="00FF770D" w:rsidRDefault="00FF770D" w:rsidP="003F6360">
      <w:pPr>
        <w:jc w:val="both"/>
        <w:rPr>
          <w:rFonts w:ascii="Verdana" w:hAnsi="Verdana"/>
          <w:sz w:val="20"/>
          <w:szCs w:val="20"/>
        </w:rPr>
      </w:pPr>
      <w:r>
        <w:rPr>
          <w:rFonts w:ascii="Verdana" w:hAnsi="Verdana"/>
          <w:sz w:val="20"/>
          <w:szCs w:val="20"/>
        </w:rPr>
        <w:t>Vamos al ejemplo de cómo se calcula y como se registra todo esto.</w:t>
      </w:r>
    </w:p>
    <w:p w:rsidR="00FF770D" w:rsidRDefault="00FF770D" w:rsidP="003F6360">
      <w:pPr>
        <w:jc w:val="both"/>
        <w:rPr>
          <w:rFonts w:ascii="Verdana" w:hAnsi="Verdana"/>
          <w:sz w:val="20"/>
          <w:szCs w:val="20"/>
        </w:rPr>
      </w:pPr>
      <w:r>
        <w:rPr>
          <w:rFonts w:ascii="Verdana" w:hAnsi="Verdana"/>
          <w:sz w:val="20"/>
          <w:szCs w:val="20"/>
        </w:rPr>
        <w:t xml:space="preserve">1.- Al cierre de ejercicio debemos saber los Saldos de las cuentas Deudores por Ventas, Deudores Morosos y Deudores en Gestión Judicial, </w:t>
      </w:r>
      <w:r w:rsidR="00023AC7">
        <w:rPr>
          <w:rFonts w:ascii="Verdana" w:hAnsi="Verdana"/>
          <w:sz w:val="20"/>
          <w:szCs w:val="20"/>
        </w:rPr>
        <w:t xml:space="preserve">salen de mayorizar estas cuentas, </w:t>
      </w:r>
      <w:r>
        <w:rPr>
          <w:rFonts w:ascii="Verdana" w:hAnsi="Verdana"/>
          <w:sz w:val="20"/>
          <w:szCs w:val="20"/>
        </w:rPr>
        <w:t>por ejemplo:</w:t>
      </w:r>
    </w:p>
    <w:p w:rsidR="00FF770D" w:rsidRDefault="00FF770D" w:rsidP="003F6360">
      <w:pPr>
        <w:jc w:val="both"/>
        <w:rPr>
          <w:rFonts w:ascii="Verdana" w:hAnsi="Verdana"/>
          <w:sz w:val="20"/>
          <w:szCs w:val="20"/>
        </w:rPr>
      </w:pPr>
      <w:r>
        <w:rPr>
          <w:rFonts w:ascii="Verdana" w:hAnsi="Verdana"/>
          <w:sz w:val="20"/>
          <w:szCs w:val="20"/>
        </w:rPr>
        <w:t xml:space="preserve">Deudores por Ventas </w:t>
      </w:r>
      <w:r w:rsidR="00023AC7">
        <w:rPr>
          <w:rFonts w:ascii="Verdana" w:hAnsi="Verdana"/>
          <w:sz w:val="20"/>
          <w:szCs w:val="20"/>
        </w:rPr>
        <w:t xml:space="preserve">                 </w:t>
      </w:r>
      <w:r>
        <w:rPr>
          <w:rFonts w:ascii="Verdana" w:hAnsi="Verdana"/>
          <w:sz w:val="20"/>
          <w:szCs w:val="20"/>
        </w:rPr>
        <w:t>$ 125000</w:t>
      </w:r>
    </w:p>
    <w:p w:rsidR="00FF770D" w:rsidRDefault="00FF770D" w:rsidP="003F6360">
      <w:pPr>
        <w:jc w:val="both"/>
        <w:rPr>
          <w:rFonts w:ascii="Verdana" w:hAnsi="Verdana"/>
          <w:sz w:val="20"/>
          <w:szCs w:val="20"/>
        </w:rPr>
      </w:pPr>
      <w:r>
        <w:rPr>
          <w:rFonts w:ascii="Verdana" w:hAnsi="Verdana"/>
          <w:sz w:val="20"/>
          <w:szCs w:val="20"/>
        </w:rPr>
        <w:t xml:space="preserve">Deudores Morosos </w:t>
      </w:r>
      <w:r w:rsidR="00023AC7">
        <w:rPr>
          <w:rFonts w:ascii="Verdana" w:hAnsi="Verdana"/>
          <w:sz w:val="20"/>
          <w:szCs w:val="20"/>
        </w:rPr>
        <w:t xml:space="preserve">                       </w:t>
      </w:r>
      <w:r>
        <w:rPr>
          <w:rFonts w:ascii="Verdana" w:hAnsi="Verdana"/>
          <w:sz w:val="20"/>
          <w:szCs w:val="20"/>
        </w:rPr>
        <w:t>$ 95000</w:t>
      </w:r>
    </w:p>
    <w:p w:rsidR="00FF770D" w:rsidRDefault="00FF770D" w:rsidP="003F6360">
      <w:pPr>
        <w:jc w:val="both"/>
        <w:rPr>
          <w:rFonts w:ascii="Verdana" w:hAnsi="Verdana"/>
          <w:sz w:val="20"/>
          <w:szCs w:val="20"/>
        </w:rPr>
      </w:pPr>
      <w:r>
        <w:rPr>
          <w:rFonts w:ascii="Verdana" w:hAnsi="Verdana"/>
          <w:sz w:val="20"/>
          <w:szCs w:val="20"/>
        </w:rPr>
        <w:t xml:space="preserve">Deudores en </w:t>
      </w:r>
      <w:r w:rsidR="00023AC7">
        <w:rPr>
          <w:rFonts w:ascii="Verdana" w:hAnsi="Verdana"/>
          <w:sz w:val="20"/>
          <w:szCs w:val="20"/>
        </w:rPr>
        <w:t>Gestión</w:t>
      </w:r>
      <w:r>
        <w:rPr>
          <w:rFonts w:ascii="Verdana" w:hAnsi="Verdana"/>
          <w:sz w:val="20"/>
          <w:szCs w:val="20"/>
        </w:rPr>
        <w:t xml:space="preserve"> Judicial </w:t>
      </w:r>
      <w:r w:rsidR="00023AC7">
        <w:rPr>
          <w:rFonts w:ascii="Verdana" w:hAnsi="Verdana"/>
          <w:sz w:val="20"/>
          <w:szCs w:val="20"/>
        </w:rPr>
        <w:t xml:space="preserve">         </w:t>
      </w:r>
      <w:r w:rsidRPr="00023AC7">
        <w:rPr>
          <w:rFonts w:ascii="Verdana" w:hAnsi="Verdana"/>
          <w:sz w:val="20"/>
          <w:szCs w:val="20"/>
          <w:u w:val="single"/>
        </w:rPr>
        <w:t xml:space="preserve">$ </w:t>
      </w:r>
      <w:r w:rsidR="00023AC7">
        <w:rPr>
          <w:rFonts w:ascii="Verdana" w:hAnsi="Verdana"/>
          <w:sz w:val="20"/>
          <w:szCs w:val="20"/>
          <w:u w:val="single"/>
        </w:rPr>
        <w:t>30</w:t>
      </w:r>
      <w:r w:rsidRPr="00023AC7">
        <w:rPr>
          <w:rFonts w:ascii="Verdana" w:hAnsi="Verdana"/>
          <w:sz w:val="20"/>
          <w:szCs w:val="20"/>
          <w:u w:val="single"/>
        </w:rPr>
        <w:t>000</w:t>
      </w:r>
    </w:p>
    <w:p w:rsidR="00FF770D" w:rsidRDefault="00023AC7" w:rsidP="003F6360">
      <w:pPr>
        <w:jc w:val="both"/>
        <w:rPr>
          <w:rFonts w:ascii="Verdana" w:hAnsi="Verdana"/>
          <w:sz w:val="20"/>
          <w:szCs w:val="20"/>
        </w:rPr>
      </w:pPr>
      <w:r>
        <w:rPr>
          <w:rFonts w:ascii="Verdana" w:hAnsi="Verdana"/>
          <w:sz w:val="20"/>
          <w:szCs w:val="20"/>
        </w:rPr>
        <w:t>Total                                         $ 250000</w:t>
      </w:r>
    </w:p>
    <w:p w:rsidR="00023AC7" w:rsidRDefault="00023AC7" w:rsidP="003F6360">
      <w:pPr>
        <w:jc w:val="both"/>
        <w:rPr>
          <w:rFonts w:ascii="Verdana" w:hAnsi="Verdana"/>
          <w:sz w:val="20"/>
          <w:szCs w:val="20"/>
        </w:rPr>
      </w:pPr>
      <w:r>
        <w:rPr>
          <w:rFonts w:ascii="Verdana" w:hAnsi="Verdana"/>
          <w:sz w:val="20"/>
          <w:szCs w:val="20"/>
        </w:rPr>
        <w:t>O sea que al cierre del ejercicio tenemos para cobrar $ 250000 por ventas del ejercicio que está cerrando, y que seguramente se concreten al año o años siguientes o no……</w:t>
      </w:r>
    </w:p>
    <w:p w:rsidR="00023AC7" w:rsidRDefault="00023AC7" w:rsidP="003F6360">
      <w:pPr>
        <w:jc w:val="both"/>
        <w:rPr>
          <w:rFonts w:ascii="Verdana" w:hAnsi="Verdana"/>
          <w:sz w:val="20"/>
          <w:szCs w:val="20"/>
        </w:rPr>
      </w:pPr>
      <w:r>
        <w:rPr>
          <w:rFonts w:ascii="Verdana" w:hAnsi="Verdana"/>
          <w:sz w:val="20"/>
          <w:szCs w:val="20"/>
        </w:rPr>
        <w:lastRenderedPageBreak/>
        <w:t>Acá es donde la experiencia de la empresa de venir trabajando con clientes y años de reclamos es que generalmente aplica un % sobre estos Deudores para calcular la Previsión, esto es reconocer que un porcentaje de estos $ 250000 seguramente no se cobren y se hagan INCOBRABLES, pero para que la Perdida no castigue al año siguiente ya al cierre reconozco la perdida con el cálculo de la Previsión. Supongamos que el 5 % es el porcentaje que viene aplicando la empresa de incobrabilidad, o sea que la PREVISION será $ 250000 x 5% =  $ 12500</w:t>
      </w:r>
    </w:p>
    <w:p w:rsidR="00023AC7" w:rsidRDefault="00023AC7" w:rsidP="003F6360">
      <w:pPr>
        <w:jc w:val="both"/>
        <w:rPr>
          <w:rFonts w:ascii="Verdana" w:hAnsi="Verdana"/>
          <w:sz w:val="20"/>
          <w:szCs w:val="20"/>
        </w:rPr>
      </w:pPr>
      <w:r>
        <w:rPr>
          <w:rFonts w:ascii="Verdana" w:hAnsi="Verdana"/>
          <w:sz w:val="20"/>
          <w:szCs w:val="20"/>
        </w:rPr>
        <w:t>Y hacemos el asiento contable al cierre</w:t>
      </w:r>
      <w:r w:rsidR="00E2033B">
        <w:rPr>
          <w:rFonts w:ascii="Verdana" w:hAnsi="Verdana"/>
          <w:sz w:val="20"/>
          <w:szCs w:val="20"/>
        </w:rPr>
        <w:t>:</w:t>
      </w:r>
    </w:p>
    <w:tbl>
      <w:tblPr>
        <w:tblStyle w:val="Tablaconcuadrcula"/>
        <w:tblW w:w="0" w:type="auto"/>
        <w:tblLook w:val="04A0" w:firstRow="1" w:lastRow="0" w:firstColumn="1" w:lastColumn="0" w:noHBand="0" w:noVBand="1"/>
      </w:tblPr>
      <w:tblGrid>
        <w:gridCol w:w="817"/>
        <w:gridCol w:w="1122"/>
        <w:gridCol w:w="3796"/>
        <w:gridCol w:w="1690"/>
        <w:gridCol w:w="1629"/>
      </w:tblGrid>
      <w:tr w:rsidR="00023AC7" w:rsidTr="00E2033B">
        <w:tc>
          <w:tcPr>
            <w:tcW w:w="817" w:type="dxa"/>
          </w:tcPr>
          <w:p w:rsidR="00023AC7" w:rsidRDefault="00023AC7" w:rsidP="00EE65F7">
            <w:pPr>
              <w:jc w:val="center"/>
              <w:rPr>
                <w:rFonts w:ascii="Verdana" w:hAnsi="Verdana"/>
                <w:sz w:val="20"/>
                <w:szCs w:val="20"/>
              </w:rPr>
            </w:pPr>
            <w:r>
              <w:rPr>
                <w:rFonts w:ascii="Verdana" w:hAnsi="Verdana"/>
                <w:sz w:val="20"/>
                <w:szCs w:val="20"/>
              </w:rPr>
              <w:t>fecha</w:t>
            </w:r>
          </w:p>
        </w:tc>
        <w:tc>
          <w:tcPr>
            <w:tcW w:w="1122" w:type="dxa"/>
          </w:tcPr>
          <w:p w:rsidR="00023AC7" w:rsidRDefault="00023AC7" w:rsidP="00EE65F7">
            <w:pPr>
              <w:jc w:val="center"/>
              <w:rPr>
                <w:rFonts w:ascii="Verdana" w:hAnsi="Verdana"/>
                <w:sz w:val="20"/>
                <w:szCs w:val="20"/>
              </w:rPr>
            </w:pPr>
            <w:r>
              <w:rPr>
                <w:rFonts w:ascii="Verdana" w:hAnsi="Verdana"/>
                <w:sz w:val="20"/>
                <w:szCs w:val="20"/>
              </w:rPr>
              <w:t>variación</w:t>
            </w:r>
          </w:p>
        </w:tc>
        <w:tc>
          <w:tcPr>
            <w:tcW w:w="3796" w:type="dxa"/>
          </w:tcPr>
          <w:p w:rsidR="00023AC7" w:rsidRDefault="00023AC7" w:rsidP="00EE65F7">
            <w:pPr>
              <w:jc w:val="center"/>
              <w:rPr>
                <w:rFonts w:ascii="Verdana" w:hAnsi="Verdana"/>
                <w:sz w:val="20"/>
                <w:szCs w:val="20"/>
              </w:rPr>
            </w:pPr>
            <w:r>
              <w:rPr>
                <w:rFonts w:ascii="Verdana" w:hAnsi="Verdana"/>
                <w:sz w:val="20"/>
                <w:szCs w:val="20"/>
              </w:rPr>
              <w:t>detalle</w:t>
            </w:r>
          </w:p>
        </w:tc>
        <w:tc>
          <w:tcPr>
            <w:tcW w:w="1690" w:type="dxa"/>
          </w:tcPr>
          <w:p w:rsidR="00023AC7" w:rsidRDefault="00023AC7" w:rsidP="00EE65F7">
            <w:pPr>
              <w:jc w:val="center"/>
              <w:rPr>
                <w:rFonts w:ascii="Verdana" w:hAnsi="Verdana"/>
                <w:sz w:val="20"/>
                <w:szCs w:val="20"/>
              </w:rPr>
            </w:pPr>
            <w:r>
              <w:rPr>
                <w:rFonts w:ascii="Verdana" w:hAnsi="Verdana"/>
                <w:sz w:val="20"/>
                <w:szCs w:val="20"/>
              </w:rPr>
              <w:t>debe</w:t>
            </w:r>
          </w:p>
        </w:tc>
        <w:tc>
          <w:tcPr>
            <w:tcW w:w="1629" w:type="dxa"/>
          </w:tcPr>
          <w:p w:rsidR="00023AC7" w:rsidRDefault="00023AC7" w:rsidP="00EE65F7">
            <w:pPr>
              <w:jc w:val="center"/>
              <w:rPr>
                <w:rFonts w:ascii="Verdana" w:hAnsi="Verdana"/>
                <w:sz w:val="20"/>
                <w:szCs w:val="20"/>
              </w:rPr>
            </w:pPr>
            <w:r>
              <w:rPr>
                <w:rFonts w:ascii="Verdana" w:hAnsi="Verdana"/>
                <w:sz w:val="20"/>
                <w:szCs w:val="20"/>
              </w:rPr>
              <w:t>Haber</w:t>
            </w:r>
          </w:p>
        </w:tc>
      </w:tr>
      <w:tr w:rsidR="00023AC7" w:rsidTr="00E2033B">
        <w:tc>
          <w:tcPr>
            <w:tcW w:w="817" w:type="dxa"/>
          </w:tcPr>
          <w:p w:rsidR="00023AC7" w:rsidRDefault="00023AC7" w:rsidP="00EE65F7">
            <w:pPr>
              <w:jc w:val="center"/>
              <w:rPr>
                <w:rFonts w:ascii="Verdana" w:hAnsi="Verdana"/>
                <w:sz w:val="20"/>
                <w:szCs w:val="20"/>
              </w:rPr>
            </w:pPr>
            <w:r>
              <w:rPr>
                <w:rFonts w:ascii="Verdana" w:hAnsi="Verdana"/>
                <w:sz w:val="20"/>
                <w:szCs w:val="20"/>
              </w:rPr>
              <w:t>31/12</w:t>
            </w:r>
          </w:p>
        </w:tc>
        <w:tc>
          <w:tcPr>
            <w:tcW w:w="1122" w:type="dxa"/>
          </w:tcPr>
          <w:p w:rsidR="00023AC7" w:rsidRDefault="00023AC7" w:rsidP="00EE65F7">
            <w:pPr>
              <w:jc w:val="center"/>
              <w:rPr>
                <w:rFonts w:ascii="Verdana" w:hAnsi="Verdana"/>
                <w:sz w:val="20"/>
                <w:szCs w:val="20"/>
              </w:rPr>
            </w:pPr>
            <w:r>
              <w:rPr>
                <w:rFonts w:ascii="Verdana" w:hAnsi="Verdana"/>
                <w:sz w:val="20"/>
                <w:szCs w:val="20"/>
              </w:rPr>
              <w:t>R -</w:t>
            </w:r>
          </w:p>
        </w:tc>
        <w:tc>
          <w:tcPr>
            <w:tcW w:w="3796" w:type="dxa"/>
          </w:tcPr>
          <w:p w:rsidR="00023AC7" w:rsidRDefault="00023AC7" w:rsidP="00EE65F7">
            <w:pPr>
              <w:rPr>
                <w:rFonts w:ascii="Verdana" w:hAnsi="Verdana"/>
                <w:sz w:val="20"/>
                <w:szCs w:val="20"/>
              </w:rPr>
            </w:pPr>
            <w:r>
              <w:rPr>
                <w:rFonts w:ascii="Verdana" w:hAnsi="Verdana"/>
                <w:sz w:val="20"/>
                <w:szCs w:val="20"/>
              </w:rPr>
              <w:t>Deudores Incobrables</w:t>
            </w:r>
          </w:p>
        </w:tc>
        <w:tc>
          <w:tcPr>
            <w:tcW w:w="1690" w:type="dxa"/>
          </w:tcPr>
          <w:p w:rsidR="00023AC7" w:rsidRDefault="00023AC7" w:rsidP="00023AC7">
            <w:pPr>
              <w:jc w:val="center"/>
              <w:rPr>
                <w:rFonts w:ascii="Verdana" w:hAnsi="Verdana"/>
                <w:sz w:val="20"/>
                <w:szCs w:val="20"/>
              </w:rPr>
            </w:pPr>
            <w:r>
              <w:rPr>
                <w:rFonts w:ascii="Verdana" w:hAnsi="Verdana"/>
                <w:sz w:val="20"/>
                <w:szCs w:val="20"/>
              </w:rPr>
              <w:t>$ 12500</w:t>
            </w:r>
          </w:p>
        </w:tc>
        <w:tc>
          <w:tcPr>
            <w:tcW w:w="1629" w:type="dxa"/>
          </w:tcPr>
          <w:p w:rsidR="00023AC7" w:rsidRDefault="00023AC7" w:rsidP="00EE65F7">
            <w:pPr>
              <w:jc w:val="center"/>
              <w:rPr>
                <w:rFonts w:ascii="Verdana" w:hAnsi="Verdana"/>
                <w:sz w:val="20"/>
                <w:szCs w:val="20"/>
              </w:rPr>
            </w:pPr>
          </w:p>
        </w:tc>
      </w:tr>
      <w:tr w:rsidR="00023AC7" w:rsidTr="00E2033B">
        <w:tc>
          <w:tcPr>
            <w:tcW w:w="817" w:type="dxa"/>
          </w:tcPr>
          <w:p w:rsidR="00023AC7" w:rsidRDefault="00023AC7" w:rsidP="00EE65F7">
            <w:pPr>
              <w:jc w:val="center"/>
              <w:rPr>
                <w:rFonts w:ascii="Verdana" w:hAnsi="Verdana"/>
                <w:sz w:val="20"/>
                <w:szCs w:val="20"/>
              </w:rPr>
            </w:pPr>
          </w:p>
        </w:tc>
        <w:tc>
          <w:tcPr>
            <w:tcW w:w="1122" w:type="dxa"/>
          </w:tcPr>
          <w:p w:rsidR="00023AC7" w:rsidRDefault="00E2033B" w:rsidP="00E2033B">
            <w:pPr>
              <w:jc w:val="center"/>
              <w:rPr>
                <w:rFonts w:ascii="Verdana" w:hAnsi="Verdana"/>
                <w:sz w:val="20"/>
                <w:szCs w:val="20"/>
              </w:rPr>
            </w:pPr>
            <w:r>
              <w:rPr>
                <w:rFonts w:ascii="Verdana" w:hAnsi="Verdana"/>
                <w:sz w:val="20"/>
                <w:szCs w:val="20"/>
              </w:rPr>
              <w:t>Reg Act</w:t>
            </w:r>
          </w:p>
        </w:tc>
        <w:tc>
          <w:tcPr>
            <w:tcW w:w="3796" w:type="dxa"/>
          </w:tcPr>
          <w:p w:rsidR="00023AC7" w:rsidRDefault="00023AC7" w:rsidP="00E2033B">
            <w:pPr>
              <w:jc w:val="center"/>
              <w:rPr>
                <w:rFonts w:ascii="Verdana" w:hAnsi="Verdana"/>
                <w:sz w:val="20"/>
                <w:szCs w:val="20"/>
              </w:rPr>
            </w:pPr>
            <w:r>
              <w:rPr>
                <w:rFonts w:ascii="Verdana" w:hAnsi="Verdana"/>
                <w:sz w:val="20"/>
                <w:szCs w:val="20"/>
              </w:rPr>
              <w:t xml:space="preserve">           A P</w:t>
            </w:r>
            <w:r w:rsidR="00E2033B">
              <w:rPr>
                <w:rFonts w:ascii="Verdana" w:hAnsi="Verdana"/>
                <w:sz w:val="20"/>
                <w:szCs w:val="20"/>
              </w:rPr>
              <w:t>rev para Ds Incobrables</w:t>
            </w:r>
          </w:p>
        </w:tc>
        <w:tc>
          <w:tcPr>
            <w:tcW w:w="1690" w:type="dxa"/>
          </w:tcPr>
          <w:p w:rsidR="00023AC7" w:rsidRDefault="00023AC7" w:rsidP="00EE65F7">
            <w:pPr>
              <w:jc w:val="center"/>
              <w:rPr>
                <w:rFonts w:ascii="Verdana" w:hAnsi="Verdana"/>
                <w:sz w:val="20"/>
                <w:szCs w:val="20"/>
              </w:rPr>
            </w:pPr>
          </w:p>
        </w:tc>
        <w:tc>
          <w:tcPr>
            <w:tcW w:w="1629" w:type="dxa"/>
          </w:tcPr>
          <w:p w:rsidR="00023AC7" w:rsidRDefault="00023AC7" w:rsidP="00E2033B">
            <w:pPr>
              <w:jc w:val="center"/>
              <w:rPr>
                <w:rFonts w:ascii="Verdana" w:hAnsi="Verdana"/>
                <w:sz w:val="20"/>
                <w:szCs w:val="20"/>
              </w:rPr>
            </w:pPr>
            <w:r>
              <w:rPr>
                <w:rFonts w:ascii="Verdana" w:hAnsi="Verdana"/>
                <w:sz w:val="20"/>
                <w:szCs w:val="20"/>
              </w:rPr>
              <w:t>$ 125</w:t>
            </w:r>
            <w:r w:rsidR="00E2033B">
              <w:rPr>
                <w:rFonts w:ascii="Verdana" w:hAnsi="Verdana"/>
                <w:sz w:val="20"/>
                <w:szCs w:val="20"/>
              </w:rPr>
              <w:t>00</w:t>
            </w:r>
          </w:p>
        </w:tc>
      </w:tr>
    </w:tbl>
    <w:p w:rsidR="00023AC7" w:rsidRDefault="00023AC7" w:rsidP="003F6360">
      <w:pPr>
        <w:jc w:val="both"/>
        <w:rPr>
          <w:rFonts w:ascii="Verdana" w:hAnsi="Verdana"/>
          <w:sz w:val="20"/>
          <w:szCs w:val="20"/>
        </w:rPr>
      </w:pPr>
    </w:p>
    <w:p w:rsidR="00E2033B" w:rsidRDefault="00E2033B" w:rsidP="003F6360">
      <w:pPr>
        <w:jc w:val="both"/>
        <w:rPr>
          <w:rFonts w:ascii="Verdana" w:hAnsi="Verdana"/>
          <w:sz w:val="20"/>
          <w:szCs w:val="20"/>
        </w:rPr>
      </w:pPr>
      <w:r w:rsidRPr="00E2033B">
        <w:rPr>
          <w:rFonts w:ascii="Verdana" w:hAnsi="Verdana"/>
          <w:b/>
          <w:sz w:val="20"/>
          <w:szCs w:val="20"/>
        </w:rPr>
        <w:t>Previsión para Deudores Incobrables</w:t>
      </w:r>
      <w:r>
        <w:rPr>
          <w:rFonts w:ascii="Verdana" w:hAnsi="Verdana"/>
          <w:sz w:val="20"/>
          <w:szCs w:val="20"/>
        </w:rPr>
        <w:t xml:space="preserve"> es otra cuenta Regularizadora de Activo (como la cuenta Amortizaciones Acumuladas… que vimos con los Bienes de Uso) pero en este caso regulariza a los Deudores x Ventas, Deudores Morosos y Deudores en Gestión Judicial; se registra en el Haber y se expone restando en el Activo debajo de las cuentas que regulariza.</w:t>
      </w:r>
    </w:p>
    <w:p w:rsidR="00E2033B" w:rsidRDefault="00E2033B" w:rsidP="003F6360">
      <w:pPr>
        <w:jc w:val="both"/>
        <w:rPr>
          <w:rFonts w:ascii="Verdana" w:hAnsi="Verdana"/>
          <w:sz w:val="20"/>
          <w:szCs w:val="20"/>
        </w:rPr>
      </w:pPr>
      <w:r>
        <w:rPr>
          <w:rFonts w:ascii="Verdana" w:hAnsi="Verdana"/>
          <w:sz w:val="20"/>
          <w:szCs w:val="20"/>
        </w:rPr>
        <w:t>2.- Ahora que pasa si al año siguiente yo cobro todos los Deudores (esos $ 250000 que estaban pendientes) y ya registre una pérdida que se podía producir y no se produjo; en este caso debemos dar de baja la previsión y reflejar un Resultado Positivo para compensar esa pérdida de $ 12500</w:t>
      </w:r>
      <w:r w:rsidR="0014441A">
        <w:rPr>
          <w:rFonts w:ascii="Verdana" w:hAnsi="Verdana"/>
          <w:sz w:val="20"/>
          <w:szCs w:val="20"/>
        </w:rPr>
        <w:t xml:space="preserve"> (la fecha es inventada)</w:t>
      </w:r>
      <w:r>
        <w:rPr>
          <w:rFonts w:ascii="Verdana" w:hAnsi="Verdana"/>
          <w:sz w:val="20"/>
          <w:szCs w:val="20"/>
        </w:rPr>
        <w:t>. El asiento será:</w:t>
      </w:r>
    </w:p>
    <w:tbl>
      <w:tblPr>
        <w:tblStyle w:val="Tablaconcuadrcula"/>
        <w:tblW w:w="0" w:type="auto"/>
        <w:tblLook w:val="04A0" w:firstRow="1" w:lastRow="0" w:firstColumn="1" w:lastColumn="0" w:noHBand="0" w:noVBand="1"/>
      </w:tblPr>
      <w:tblGrid>
        <w:gridCol w:w="817"/>
        <w:gridCol w:w="1122"/>
        <w:gridCol w:w="3796"/>
        <w:gridCol w:w="1690"/>
        <w:gridCol w:w="1629"/>
      </w:tblGrid>
      <w:tr w:rsidR="00E2033B" w:rsidTr="00EE65F7">
        <w:tc>
          <w:tcPr>
            <w:tcW w:w="817" w:type="dxa"/>
          </w:tcPr>
          <w:p w:rsidR="00E2033B" w:rsidRDefault="00E2033B" w:rsidP="00EE65F7">
            <w:pPr>
              <w:jc w:val="center"/>
              <w:rPr>
                <w:rFonts w:ascii="Verdana" w:hAnsi="Verdana"/>
                <w:sz w:val="20"/>
                <w:szCs w:val="20"/>
              </w:rPr>
            </w:pPr>
            <w:r>
              <w:rPr>
                <w:rFonts w:ascii="Verdana" w:hAnsi="Verdana"/>
                <w:sz w:val="20"/>
                <w:szCs w:val="20"/>
              </w:rPr>
              <w:t>fecha</w:t>
            </w:r>
          </w:p>
        </w:tc>
        <w:tc>
          <w:tcPr>
            <w:tcW w:w="1122" w:type="dxa"/>
          </w:tcPr>
          <w:p w:rsidR="00E2033B" w:rsidRDefault="00E2033B" w:rsidP="00EE65F7">
            <w:pPr>
              <w:jc w:val="center"/>
              <w:rPr>
                <w:rFonts w:ascii="Verdana" w:hAnsi="Verdana"/>
                <w:sz w:val="20"/>
                <w:szCs w:val="20"/>
              </w:rPr>
            </w:pPr>
            <w:r>
              <w:rPr>
                <w:rFonts w:ascii="Verdana" w:hAnsi="Verdana"/>
                <w:sz w:val="20"/>
                <w:szCs w:val="20"/>
              </w:rPr>
              <w:t>variación</w:t>
            </w:r>
          </w:p>
        </w:tc>
        <w:tc>
          <w:tcPr>
            <w:tcW w:w="3796" w:type="dxa"/>
          </w:tcPr>
          <w:p w:rsidR="00E2033B" w:rsidRDefault="00E2033B" w:rsidP="00EE65F7">
            <w:pPr>
              <w:jc w:val="center"/>
              <w:rPr>
                <w:rFonts w:ascii="Verdana" w:hAnsi="Verdana"/>
                <w:sz w:val="20"/>
                <w:szCs w:val="20"/>
              </w:rPr>
            </w:pPr>
            <w:r>
              <w:rPr>
                <w:rFonts w:ascii="Verdana" w:hAnsi="Verdana"/>
                <w:sz w:val="20"/>
                <w:szCs w:val="20"/>
              </w:rPr>
              <w:t>detalle</w:t>
            </w:r>
          </w:p>
        </w:tc>
        <w:tc>
          <w:tcPr>
            <w:tcW w:w="1690" w:type="dxa"/>
          </w:tcPr>
          <w:p w:rsidR="00E2033B" w:rsidRDefault="00E2033B" w:rsidP="00EE65F7">
            <w:pPr>
              <w:jc w:val="center"/>
              <w:rPr>
                <w:rFonts w:ascii="Verdana" w:hAnsi="Verdana"/>
                <w:sz w:val="20"/>
                <w:szCs w:val="20"/>
              </w:rPr>
            </w:pPr>
            <w:r>
              <w:rPr>
                <w:rFonts w:ascii="Verdana" w:hAnsi="Verdana"/>
                <w:sz w:val="20"/>
                <w:szCs w:val="20"/>
              </w:rPr>
              <w:t>debe</w:t>
            </w:r>
          </w:p>
        </w:tc>
        <w:tc>
          <w:tcPr>
            <w:tcW w:w="1629" w:type="dxa"/>
          </w:tcPr>
          <w:p w:rsidR="00E2033B" w:rsidRDefault="00E2033B" w:rsidP="00EE65F7">
            <w:pPr>
              <w:jc w:val="center"/>
              <w:rPr>
                <w:rFonts w:ascii="Verdana" w:hAnsi="Verdana"/>
                <w:sz w:val="20"/>
                <w:szCs w:val="20"/>
              </w:rPr>
            </w:pPr>
            <w:r>
              <w:rPr>
                <w:rFonts w:ascii="Verdana" w:hAnsi="Verdana"/>
                <w:sz w:val="20"/>
                <w:szCs w:val="20"/>
              </w:rPr>
              <w:t>Haber</w:t>
            </w:r>
          </w:p>
        </w:tc>
      </w:tr>
      <w:tr w:rsidR="00E2033B" w:rsidTr="00EE65F7">
        <w:tc>
          <w:tcPr>
            <w:tcW w:w="817" w:type="dxa"/>
          </w:tcPr>
          <w:p w:rsidR="00E2033B" w:rsidRDefault="00E2033B" w:rsidP="00E2033B">
            <w:pPr>
              <w:jc w:val="center"/>
              <w:rPr>
                <w:rFonts w:ascii="Verdana" w:hAnsi="Verdana"/>
                <w:sz w:val="20"/>
                <w:szCs w:val="20"/>
              </w:rPr>
            </w:pPr>
            <w:r>
              <w:rPr>
                <w:rFonts w:ascii="Verdana" w:hAnsi="Verdana"/>
                <w:sz w:val="20"/>
                <w:szCs w:val="20"/>
              </w:rPr>
              <w:t>05/06</w:t>
            </w:r>
          </w:p>
        </w:tc>
        <w:tc>
          <w:tcPr>
            <w:tcW w:w="1122" w:type="dxa"/>
          </w:tcPr>
          <w:p w:rsidR="00E2033B" w:rsidRDefault="00E2033B" w:rsidP="00EE65F7">
            <w:pPr>
              <w:jc w:val="center"/>
              <w:rPr>
                <w:rFonts w:ascii="Verdana" w:hAnsi="Verdana"/>
                <w:sz w:val="20"/>
                <w:szCs w:val="20"/>
              </w:rPr>
            </w:pPr>
            <w:r>
              <w:rPr>
                <w:rFonts w:ascii="Verdana" w:hAnsi="Verdana"/>
                <w:sz w:val="20"/>
                <w:szCs w:val="20"/>
              </w:rPr>
              <w:t>Reg Act</w:t>
            </w:r>
          </w:p>
        </w:tc>
        <w:tc>
          <w:tcPr>
            <w:tcW w:w="3796" w:type="dxa"/>
          </w:tcPr>
          <w:p w:rsidR="00E2033B" w:rsidRDefault="00E2033B" w:rsidP="00EE65F7">
            <w:pPr>
              <w:rPr>
                <w:rFonts w:ascii="Verdana" w:hAnsi="Verdana"/>
                <w:sz w:val="20"/>
                <w:szCs w:val="20"/>
              </w:rPr>
            </w:pPr>
            <w:r>
              <w:rPr>
                <w:rFonts w:ascii="Verdana" w:hAnsi="Verdana"/>
                <w:sz w:val="20"/>
                <w:szCs w:val="20"/>
              </w:rPr>
              <w:t>Prev para Ds Incobrables</w:t>
            </w:r>
          </w:p>
        </w:tc>
        <w:tc>
          <w:tcPr>
            <w:tcW w:w="1690" w:type="dxa"/>
          </w:tcPr>
          <w:p w:rsidR="00E2033B" w:rsidRDefault="00E2033B" w:rsidP="00EE65F7">
            <w:pPr>
              <w:jc w:val="center"/>
              <w:rPr>
                <w:rFonts w:ascii="Verdana" w:hAnsi="Verdana"/>
                <w:sz w:val="20"/>
                <w:szCs w:val="20"/>
              </w:rPr>
            </w:pPr>
            <w:r>
              <w:rPr>
                <w:rFonts w:ascii="Verdana" w:hAnsi="Verdana"/>
                <w:sz w:val="20"/>
                <w:szCs w:val="20"/>
              </w:rPr>
              <w:t>$ 12500</w:t>
            </w:r>
          </w:p>
        </w:tc>
        <w:tc>
          <w:tcPr>
            <w:tcW w:w="1629" w:type="dxa"/>
          </w:tcPr>
          <w:p w:rsidR="00E2033B" w:rsidRDefault="00E2033B" w:rsidP="00EE65F7">
            <w:pPr>
              <w:jc w:val="center"/>
              <w:rPr>
                <w:rFonts w:ascii="Verdana" w:hAnsi="Verdana"/>
                <w:sz w:val="20"/>
                <w:szCs w:val="20"/>
              </w:rPr>
            </w:pPr>
          </w:p>
        </w:tc>
      </w:tr>
      <w:tr w:rsidR="00E2033B" w:rsidTr="00EE65F7">
        <w:tc>
          <w:tcPr>
            <w:tcW w:w="817" w:type="dxa"/>
          </w:tcPr>
          <w:p w:rsidR="00E2033B" w:rsidRDefault="00E2033B" w:rsidP="00EE65F7">
            <w:pPr>
              <w:jc w:val="center"/>
              <w:rPr>
                <w:rFonts w:ascii="Verdana" w:hAnsi="Verdana"/>
                <w:sz w:val="20"/>
                <w:szCs w:val="20"/>
              </w:rPr>
            </w:pPr>
          </w:p>
        </w:tc>
        <w:tc>
          <w:tcPr>
            <w:tcW w:w="1122" w:type="dxa"/>
          </w:tcPr>
          <w:p w:rsidR="00E2033B" w:rsidRDefault="00E2033B" w:rsidP="00EE65F7">
            <w:pPr>
              <w:jc w:val="center"/>
              <w:rPr>
                <w:rFonts w:ascii="Verdana" w:hAnsi="Verdana"/>
                <w:sz w:val="20"/>
                <w:szCs w:val="20"/>
              </w:rPr>
            </w:pPr>
            <w:r>
              <w:rPr>
                <w:rFonts w:ascii="Verdana" w:hAnsi="Verdana"/>
                <w:sz w:val="20"/>
                <w:szCs w:val="20"/>
              </w:rPr>
              <w:t>R +</w:t>
            </w:r>
          </w:p>
        </w:tc>
        <w:tc>
          <w:tcPr>
            <w:tcW w:w="3796" w:type="dxa"/>
          </w:tcPr>
          <w:p w:rsidR="00E2033B" w:rsidRDefault="00E2033B" w:rsidP="00E2033B">
            <w:pPr>
              <w:jc w:val="center"/>
              <w:rPr>
                <w:rFonts w:ascii="Verdana" w:hAnsi="Verdana"/>
                <w:sz w:val="20"/>
                <w:szCs w:val="20"/>
              </w:rPr>
            </w:pPr>
            <w:r>
              <w:rPr>
                <w:rFonts w:ascii="Verdana" w:hAnsi="Verdana"/>
                <w:sz w:val="20"/>
                <w:szCs w:val="20"/>
              </w:rPr>
              <w:t xml:space="preserve">           A Recupero de Previsión para Ds Incobrables</w:t>
            </w:r>
          </w:p>
        </w:tc>
        <w:tc>
          <w:tcPr>
            <w:tcW w:w="1690" w:type="dxa"/>
          </w:tcPr>
          <w:p w:rsidR="00E2033B" w:rsidRDefault="00E2033B" w:rsidP="00EE65F7">
            <w:pPr>
              <w:jc w:val="center"/>
              <w:rPr>
                <w:rFonts w:ascii="Verdana" w:hAnsi="Verdana"/>
                <w:sz w:val="20"/>
                <w:szCs w:val="20"/>
              </w:rPr>
            </w:pPr>
          </w:p>
        </w:tc>
        <w:tc>
          <w:tcPr>
            <w:tcW w:w="1629" w:type="dxa"/>
          </w:tcPr>
          <w:p w:rsidR="00E2033B" w:rsidRDefault="00E2033B" w:rsidP="00EE65F7">
            <w:pPr>
              <w:jc w:val="center"/>
              <w:rPr>
                <w:rFonts w:ascii="Verdana" w:hAnsi="Verdana"/>
                <w:sz w:val="20"/>
                <w:szCs w:val="20"/>
              </w:rPr>
            </w:pPr>
            <w:r>
              <w:rPr>
                <w:rFonts w:ascii="Verdana" w:hAnsi="Verdana"/>
                <w:sz w:val="20"/>
                <w:szCs w:val="20"/>
              </w:rPr>
              <w:t>$ 12500</w:t>
            </w:r>
          </w:p>
        </w:tc>
      </w:tr>
    </w:tbl>
    <w:p w:rsidR="00E2033B" w:rsidRDefault="00E2033B" w:rsidP="003F6360">
      <w:pPr>
        <w:jc w:val="both"/>
        <w:rPr>
          <w:rFonts w:ascii="Verdana" w:hAnsi="Verdana"/>
          <w:sz w:val="20"/>
          <w:szCs w:val="20"/>
        </w:rPr>
      </w:pPr>
    </w:p>
    <w:p w:rsidR="0014441A" w:rsidRDefault="0014441A" w:rsidP="003F6360">
      <w:pPr>
        <w:jc w:val="both"/>
        <w:rPr>
          <w:rFonts w:ascii="Verdana" w:hAnsi="Verdana"/>
          <w:sz w:val="20"/>
          <w:szCs w:val="20"/>
        </w:rPr>
      </w:pPr>
      <w:r>
        <w:rPr>
          <w:rFonts w:ascii="Verdana" w:hAnsi="Verdana"/>
          <w:sz w:val="20"/>
          <w:szCs w:val="20"/>
        </w:rPr>
        <w:t xml:space="preserve">Con la cuenta de resultado positivo Recupero de </w:t>
      </w:r>
      <w:r w:rsidR="00923181">
        <w:rPr>
          <w:rFonts w:ascii="Verdana" w:hAnsi="Verdana"/>
          <w:sz w:val="20"/>
          <w:szCs w:val="20"/>
        </w:rPr>
        <w:t>Previsión</w:t>
      </w:r>
      <w:r>
        <w:rPr>
          <w:rFonts w:ascii="Verdana" w:hAnsi="Verdana"/>
          <w:sz w:val="20"/>
          <w:szCs w:val="20"/>
        </w:rPr>
        <w:t xml:space="preserve"> para Ds Incobrables compenso el resultado negativo anterior.</w:t>
      </w:r>
    </w:p>
    <w:p w:rsidR="0014441A" w:rsidRDefault="0014441A" w:rsidP="003F6360">
      <w:pPr>
        <w:jc w:val="both"/>
        <w:rPr>
          <w:rFonts w:ascii="Verdana" w:hAnsi="Verdana"/>
          <w:sz w:val="20"/>
          <w:szCs w:val="20"/>
        </w:rPr>
      </w:pPr>
      <w:r>
        <w:rPr>
          <w:rFonts w:ascii="Verdana" w:hAnsi="Verdana"/>
          <w:sz w:val="20"/>
          <w:szCs w:val="20"/>
        </w:rPr>
        <w:t>3.- Y qué pasa si al año siguiente se producen más Deudores Incobrables que los que previsione, por ejemplo $ 15000 en lugar de los $ 12500 que estime (la fecha es inventada). El asiento será:</w:t>
      </w:r>
    </w:p>
    <w:tbl>
      <w:tblPr>
        <w:tblStyle w:val="Tablaconcuadrcula"/>
        <w:tblW w:w="0" w:type="auto"/>
        <w:tblLook w:val="04A0" w:firstRow="1" w:lastRow="0" w:firstColumn="1" w:lastColumn="0" w:noHBand="0" w:noVBand="1"/>
      </w:tblPr>
      <w:tblGrid>
        <w:gridCol w:w="817"/>
        <w:gridCol w:w="1122"/>
        <w:gridCol w:w="3796"/>
        <w:gridCol w:w="1690"/>
        <w:gridCol w:w="1629"/>
      </w:tblGrid>
      <w:tr w:rsidR="0014441A" w:rsidTr="00EE65F7">
        <w:tc>
          <w:tcPr>
            <w:tcW w:w="817" w:type="dxa"/>
          </w:tcPr>
          <w:p w:rsidR="0014441A" w:rsidRDefault="0014441A" w:rsidP="00EE65F7">
            <w:pPr>
              <w:jc w:val="center"/>
              <w:rPr>
                <w:rFonts w:ascii="Verdana" w:hAnsi="Verdana"/>
                <w:sz w:val="20"/>
                <w:szCs w:val="20"/>
              </w:rPr>
            </w:pPr>
            <w:r>
              <w:rPr>
                <w:rFonts w:ascii="Verdana" w:hAnsi="Verdana"/>
                <w:sz w:val="20"/>
                <w:szCs w:val="20"/>
              </w:rPr>
              <w:t>fecha</w:t>
            </w:r>
          </w:p>
        </w:tc>
        <w:tc>
          <w:tcPr>
            <w:tcW w:w="1122" w:type="dxa"/>
          </w:tcPr>
          <w:p w:rsidR="0014441A" w:rsidRDefault="0014441A" w:rsidP="00EE65F7">
            <w:pPr>
              <w:jc w:val="center"/>
              <w:rPr>
                <w:rFonts w:ascii="Verdana" w:hAnsi="Verdana"/>
                <w:sz w:val="20"/>
                <w:szCs w:val="20"/>
              </w:rPr>
            </w:pPr>
            <w:r>
              <w:rPr>
                <w:rFonts w:ascii="Verdana" w:hAnsi="Verdana"/>
                <w:sz w:val="20"/>
                <w:szCs w:val="20"/>
              </w:rPr>
              <w:t>variación</w:t>
            </w:r>
          </w:p>
        </w:tc>
        <w:tc>
          <w:tcPr>
            <w:tcW w:w="3796" w:type="dxa"/>
          </w:tcPr>
          <w:p w:rsidR="0014441A" w:rsidRDefault="0014441A" w:rsidP="00EE65F7">
            <w:pPr>
              <w:jc w:val="center"/>
              <w:rPr>
                <w:rFonts w:ascii="Verdana" w:hAnsi="Verdana"/>
                <w:sz w:val="20"/>
                <w:szCs w:val="20"/>
              </w:rPr>
            </w:pPr>
            <w:r>
              <w:rPr>
                <w:rFonts w:ascii="Verdana" w:hAnsi="Verdana"/>
                <w:sz w:val="20"/>
                <w:szCs w:val="20"/>
              </w:rPr>
              <w:t>detalle</w:t>
            </w:r>
          </w:p>
        </w:tc>
        <w:tc>
          <w:tcPr>
            <w:tcW w:w="1690" w:type="dxa"/>
          </w:tcPr>
          <w:p w:rsidR="0014441A" w:rsidRDefault="0014441A" w:rsidP="00EE65F7">
            <w:pPr>
              <w:jc w:val="center"/>
              <w:rPr>
                <w:rFonts w:ascii="Verdana" w:hAnsi="Verdana"/>
                <w:sz w:val="20"/>
                <w:szCs w:val="20"/>
              </w:rPr>
            </w:pPr>
            <w:r>
              <w:rPr>
                <w:rFonts w:ascii="Verdana" w:hAnsi="Verdana"/>
                <w:sz w:val="20"/>
                <w:szCs w:val="20"/>
              </w:rPr>
              <w:t>debe</w:t>
            </w:r>
          </w:p>
        </w:tc>
        <w:tc>
          <w:tcPr>
            <w:tcW w:w="1629" w:type="dxa"/>
          </w:tcPr>
          <w:p w:rsidR="0014441A" w:rsidRDefault="0014441A" w:rsidP="00EE65F7">
            <w:pPr>
              <w:jc w:val="center"/>
              <w:rPr>
                <w:rFonts w:ascii="Verdana" w:hAnsi="Verdana"/>
                <w:sz w:val="20"/>
                <w:szCs w:val="20"/>
              </w:rPr>
            </w:pPr>
            <w:r>
              <w:rPr>
                <w:rFonts w:ascii="Verdana" w:hAnsi="Verdana"/>
                <w:sz w:val="20"/>
                <w:szCs w:val="20"/>
              </w:rPr>
              <w:t>Haber</w:t>
            </w:r>
          </w:p>
        </w:tc>
      </w:tr>
      <w:tr w:rsidR="0014441A" w:rsidTr="00EE65F7">
        <w:tc>
          <w:tcPr>
            <w:tcW w:w="817" w:type="dxa"/>
          </w:tcPr>
          <w:p w:rsidR="0014441A" w:rsidRDefault="0014441A" w:rsidP="0014441A">
            <w:pPr>
              <w:jc w:val="center"/>
              <w:rPr>
                <w:rFonts w:ascii="Verdana" w:hAnsi="Verdana"/>
                <w:sz w:val="20"/>
                <w:szCs w:val="20"/>
              </w:rPr>
            </w:pPr>
            <w:r>
              <w:rPr>
                <w:rFonts w:ascii="Verdana" w:hAnsi="Verdana"/>
                <w:sz w:val="20"/>
                <w:szCs w:val="20"/>
              </w:rPr>
              <w:t>12/08</w:t>
            </w:r>
          </w:p>
        </w:tc>
        <w:tc>
          <w:tcPr>
            <w:tcW w:w="1122" w:type="dxa"/>
          </w:tcPr>
          <w:p w:rsidR="0014441A" w:rsidRDefault="0014441A" w:rsidP="0014441A">
            <w:pPr>
              <w:jc w:val="center"/>
              <w:rPr>
                <w:rFonts w:ascii="Verdana" w:hAnsi="Verdana"/>
                <w:sz w:val="20"/>
                <w:szCs w:val="20"/>
              </w:rPr>
            </w:pPr>
            <w:r>
              <w:rPr>
                <w:rFonts w:ascii="Verdana" w:hAnsi="Verdana"/>
                <w:sz w:val="20"/>
                <w:szCs w:val="20"/>
              </w:rPr>
              <w:t>R -</w:t>
            </w:r>
          </w:p>
        </w:tc>
        <w:tc>
          <w:tcPr>
            <w:tcW w:w="3796" w:type="dxa"/>
          </w:tcPr>
          <w:p w:rsidR="0014441A" w:rsidRDefault="0014441A" w:rsidP="0014441A">
            <w:pPr>
              <w:rPr>
                <w:rFonts w:ascii="Verdana" w:hAnsi="Verdana"/>
                <w:sz w:val="20"/>
                <w:szCs w:val="20"/>
              </w:rPr>
            </w:pPr>
            <w:r>
              <w:rPr>
                <w:rFonts w:ascii="Verdana" w:hAnsi="Verdana"/>
                <w:sz w:val="20"/>
                <w:szCs w:val="20"/>
              </w:rPr>
              <w:t>Ds Incobrables</w:t>
            </w:r>
          </w:p>
        </w:tc>
        <w:tc>
          <w:tcPr>
            <w:tcW w:w="1690" w:type="dxa"/>
          </w:tcPr>
          <w:p w:rsidR="0014441A" w:rsidRDefault="0014441A" w:rsidP="0014441A">
            <w:pPr>
              <w:jc w:val="center"/>
              <w:rPr>
                <w:rFonts w:ascii="Verdana" w:hAnsi="Verdana"/>
                <w:sz w:val="20"/>
                <w:szCs w:val="20"/>
              </w:rPr>
            </w:pPr>
            <w:r>
              <w:rPr>
                <w:rFonts w:ascii="Verdana" w:hAnsi="Verdana"/>
                <w:sz w:val="20"/>
                <w:szCs w:val="20"/>
              </w:rPr>
              <w:t>$ 2500</w:t>
            </w:r>
          </w:p>
        </w:tc>
        <w:tc>
          <w:tcPr>
            <w:tcW w:w="1629" w:type="dxa"/>
          </w:tcPr>
          <w:p w:rsidR="0014441A" w:rsidRDefault="0014441A" w:rsidP="00EE65F7">
            <w:pPr>
              <w:jc w:val="center"/>
              <w:rPr>
                <w:rFonts w:ascii="Verdana" w:hAnsi="Verdana"/>
                <w:sz w:val="20"/>
                <w:szCs w:val="20"/>
              </w:rPr>
            </w:pPr>
          </w:p>
        </w:tc>
      </w:tr>
      <w:tr w:rsidR="0014441A" w:rsidTr="00EE65F7">
        <w:tc>
          <w:tcPr>
            <w:tcW w:w="817" w:type="dxa"/>
          </w:tcPr>
          <w:p w:rsidR="0014441A" w:rsidRDefault="0014441A" w:rsidP="00EE65F7">
            <w:pPr>
              <w:jc w:val="center"/>
              <w:rPr>
                <w:rFonts w:ascii="Verdana" w:hAnsi="Verdana"/>
                <w:sz w:val="20"/>
                <w:szCs w:val="20"/>
              </w:rPr>
            </w:pPr>
          </w:p>
        </w:tc>
        <w:tc>
          <w:tcPr>
            <w:tcW w:w="1122" w:type="dxa"/>
          </w:tcPr>
          <w:p w:rsidR="0014441A" w:rsidRDefault="0014441A" w:rsidP="0014441A">
            <w:pPr>
              <w:jc w:val="center"/>
              <w:rPr>
                <w:rFonts w:ascii="Verdana" w:hAnsi="Verdana"/>
                <w:sz w:val="20"/>
                <w:szCs w:val="20"/>
              </w:rPr>
            </w:pPr>
            <w:r>
              <w:rPr>
                <w:rFonts w:ascii="Verdana" w:hAnsi="Verdana"/>
                <w:sz w:val="20"/>
                <w:szCs w:val="20"/>
              </w:rPr>
              <w:t>Reg Act</w:t>
            </w:r>
          </w:p>
        </w:tc>
        <w:tc>
          <w:tcPr>
            <w:tcW w:w="3796" w:type="dxa"/>
          </w:tcPr>
          <w:p w:rsidR="0014441A" w:rsidRDefault="0014441A" w:rsidP="0014441A">
            <w:pPr>
              <w:rPr>
                <w:rFonts w:ascii="Verdana" w:hAnsi="Verdana"/>
                <w:sz w:val="20"/>
                <w:szCs w:val="20"/>
              </w:rPr>
            </w:pPr>
            <w:r>
              <w:rPr>
                <w:rFonts w:ascii="Verdana" w:hAnsi="Verdana"/>
                <w:sz w:val="20"/>
                <w:szCs w:val="20"/>
              </w:rPr>
              <w:t>Previsión para Ds Incobrables</w:t>
            </w:r>
          </w:p>
        </w:tc>
        <w:tc>
          <w:tcPr>
            <w:tcW w:w="1690" w:type="dxa"/>
          </w:tcPr>
          <w:p w:rsidR="0014441A" w:rsidRDefault="0014441A" w:rsidP="00EE65F7">
            <w:pPr>
              <w:jc w:val="center"/>
              <w:rPr>
                <w:rFonts w:ascii="Verdana" w:hAnsi="Verdana"/>
                <w:sz w:val="20"/>
                <w:szCs w:val="20"/>
              </w:rPr>
            </w:pPr>
            <w:r>
              <w:rPr>
                <w:rFonts w:ascii="Verdana" w:hAnsi="Verdana"/>
                <w:sz w:val="20"/>
                <w:szCs w:val="20"/>
              </w:rPr>
              <w:t>$ 12500</w:t>
            </w:r>
          </w:p>
        </w:tc>
        <w:tc>
          <w:tcPr>
            <w:tcW w:w="1629" w:type="dxa"/>
          </w:tcPr>
          <w:p w:rsidR="0014441A" w:rsidRDefault="0014441A" w:rsidP="0014441A">
            <w:pPr>
              <w:jc w:val="center"/>
              <w:rPr>
                <w:rFonts w:ascii="Verdana" w:hAnsi="Verdana"/>
                <w:sz w:val="20"/>
                <w:szCs w:val="20"/>
              </w:rPr>
            </w:pPr>
          </w:p>
        </w:tc>
      </w:tr>
      <w:tr w:rsidR="0014441A" w:rsidTr="00EE65F7">
        <w:tc>
          <w:tcPr>
            <w:tcW w:w="817" w:type="dxa"/>
          </w:tcPr>
          <w:p w:rsidR="0014441A" w:rsidRDefault="0014441A" w:rsidP="00EE65F7">
            <w:pPr>
              <w:jc w:val="center"/>
              <w:rPr>
                <w:rFonts w:ascii="Verdana" w:hAnsi="Verdana"/>
                <w:sz w:val="20"/>
                <w:szCs w:val="20"/>
              </w:rPr>
            </w:pPr>
          </w:p>
        </w:tc>
        <w:tc>
          <w:tcPr>
            <w:tcW w:w="1122" w:type="dxa"/>
          </w:tcPr>
          <w:p w:rsidR="0014441A" w:rsidRDefault="0014441A" w:rsidP="0014441A">
            <w:pPr>
              <w:jc w:val="center"/>
              <w:rPr>
                <w:rFonts w:ascii="Verdana" w:hAnsi="Verdana"/>
                <w:sz w:val="20"/>
                <w:szCs w:val="20"/>
              </w:rPr>
            </w:pPr>
            <w:r>
              <w:rPr>
                <w:rFonts w:ascii="Verdana" w:hAnsi="Verdana"/>
                <w:sz w:val="20"/>
                <w:szCs w:val="20"/>
              </w:rPr>
              <w:t>A -</w:t>
            </w:r>
          </w:p>
        </w:tc>
        <w:tc>
          <w:tcPr>
            <w:tcW w:w="3796" w:type="dxa"/>
          </w:tcPr>
          <w:p w:rsidR="0014441A" w:rsidRDefault="0014441A" w:rsidP="0014441A">
            <w:pPr>
              <w:jc w:val="center"/>
              <w:rPr>
                <w:rFonts w:ascii="Verdana" w:hAnsi="Verdana"/>
                <w:sz w:val="20"/>
                <w:szCs w:val="20"/>
              </w:rPr>
            </w:pPr>
            <w:r>
              <w:rPr>
                <w:rFonts w:ascii="Verdana" w:hAnsi="Verdana"/>
                <w:sz w:val="20"/>
                <w:szCs w:val="20"/>
              </w:rPr>
              <w:t xml:space="preserve">           A Ds en </w:t>
            </w:r>
            <w:r w:rsidR="00923181">
              <w:rPr>
                <w:rFonts w:ascii="Verdana" w:hAnsi="Verdana"/>
                <w:sz w:val="20"/>
                <w:szCs w:val="20"/>
              </w:rPr>
              <w:t>Gestión</w:t>
            </w:r>
            <w:r>
              <w:rPr>
                <w:rFonts w:ascii="Verdana" w:hAnsi="Verdana"/>
                <w:sz w:val="20"/>
                <w:szCs w:val="20"/>
              </w:rPr>
              <w:t xml:space="preserve"> Judicial</w:t>
            </w:r>
          </w:p>
        </w:tc>
        <w:tc>
          <w:tcPr>
            <w:tcW w:w="1690" w:type="dxa"/>
          </w:tcPr>
          <w:p w:rsidR="0014441A" w:rsidRDefault="0014441A" w:rsidP="00EE65F7">
            <w:pPr>
              <w:jc w:val="center"/>
              <w:rPr>
                <w:rFonts w:ascii="Verdana" w:hAnsi="Verdana"/>
                <w:sz w:val="20"/>
                <w:szCs w:val="20"/>
              </w:rPr>
            </w:pPr>
          </w:p>
        </w:tc>
        <w:tc>
          <w:tcPr>
            <w:tcW w:w="1629" w:type="dxa"/>
          </w:tcPr>
          <w:p w:rsidR="0014441A" w:rsidRDefault="0014441A" w:rsidP="00EE65F7">
            <w:pPr>
              <w:jc w:val="center"/>
              <w:rPr>
                <w:rFonts w:ascii="Verdana" w:hAnsi="Verdana"/>
                <w:sz w:val="20"/>
                <w:szCs w:val="20"/>
              </w:rPr>
            </w:pPr>
            <w:r>
              <w:rPr>
                <w:rFonts w:ascii="Verdana" w:hAnsi="Verdana"/>
                <w:sz w:val="20"/>
                <w:szCs w:val="20"/>
              </w:rPr>
              <w:t>$ 15000</w:t>
            </w:r>
          </w:p>
        </w:tc>
      </w:tr>
    </w:tbl>
    <w:p w:rsidR="0014441A" w:rsidRDefault="0014441A" w:rsidP="003F6360">
      <w:pPr>
        <w:jc w:val="both"/>
        <w:rPr>
          <w:rFonts w:ascii="Verdana" w:hAnsi="Verdana"/>
          <w:sz w:val="20"/>
          <w:szCs w:val="20"/>
        </w:rPr>
      </w:pPr>
    </w:p>
    <w:p w:rsidR="0014441A" w:rsidRDefault="0014441A" w:rsidP="003F6360">
      <w:pPr>
        <w:jc w:val="both"/>
        <w:rPr>
          <w:rFonts w:ascii="Verdana" w:hAnsi="Verdana"/>
          <w:sz w:val="20"/>
          <w:szCs w:val="20"/>
        </w:rPr>
      </w:pPr>
      <w:r>
        <w:rPr>
          <w:rFonts w:ascii="Verdana" w:hAnsi="Verdana"/>
          <w:sz w:val="20"/>
          <w:szCs w:val="20"/>
        </w:rPr>
        <w:t xml:space="preserve">Se entiende que la </w:t>
      </w:r>
      <w:r w:rsidR="00923181">
        <w:rPr>
          <w:rFonts w:ascii="Verdana" w:hAnsi="Verdana"/>
          <w:sz w:val="20"/>
          <w:szCs w:val="20"/>
        </w:rPr>
        <w:t>pérdida</w:t>
      </w:r>
      <w:r>
        <w:rPr>
          <w:rFonts w:ascii="Verdana" w:hAnsi="Verdana"/>
          <w:sz w:val="20"/>
          <w:szCs w:val="20"/>
        </w:rPr>
        <w:t xml:space="preserve"> de $ 2500 corresponde a Ventas o Deudores del año anterior, pero en lugar de castigar el ejercicio con $ 15000 de </w:t>
      </w:r>
      <w:r w:rsidR="00923181">
        <w:rPr>
          <w:rFonts w:ascii="Verdana" w:hAnsi="Verdana"/>
          <w:sz w:val="20"/>
          <w:szCs w:val="20"/>
        </w:rPr>
        <w:t>pérdidas</w:t>
      </w:r>
      <w:r>
        <w:rPr>
          <w:rFonts w:ascii="Verdana" w:hAnsi="Verdana"/>
          <w:sz w:val="20"/>
          <w:szCs w:val="20"/>
        </w:rPr>
        <w:t xml:space="preserve"> de años anteriores lo estoy castigando solo con $ 2500 ya que me quede corto con el </w:t>
      </w:r>
      <w:r w:rsidR="00923181">
        <w:rPr>
          <w:rFonts w:ascii="Verdana" w:hAnsi="Verdana"/>
          <w:sz w:val="20"/>
          <w:szCs w:val="20"/>
        </w:rPr>
        <w:t>cálculo</w:t>
      </w:r>
      <w:r>
        <w:rPr>
          <w:rFonts w:ascii="Verdana" w:hAnsi="Verdana"/>
          <w:sz w:val="20"/>
          <w:szCs w:val="20"/>
        </w:rPr>
        <w:t xml:space="preserve"> de </w:t>
      </w:r>
      <w:r>
        <w:rPr>
          <w:rFonts w:ascii="Verdana" w:hAnsi="Verdana"/>
          <w:sz w:val="20"/>
          <w:szCs w:val="20"/>
        </w:rPr>
        <w:lastRenderedPageBreak/>
        <w:t xml:space="preserve">la </w:t>
      </w:r>
      <w:r w:rsidR="00923181">
        <w:rPr>
          <w:rFonts w:ascii="Verdana" w:hAnsi="Verdana"/>
          <w:sz w:val="20"/>
          <w:szCs w:val="20"/>
        </w:rPr>
        <w:t>previsión, acá uso la previsión para menguar el resultado negativo y que no afecte un ejercicio contable distinto al originante de los Deudores.</w:t>
      </w:r>
    </w:p>
    <w:p w:rsidR="00923181" w:rsidRPr="003F6360" w:rsidRDefault="00923181" w:rsidP="003F6360">
      <w:pPr>
        <w:jc w:val="both"/>
        <w:rPr>
          <w:rFonts w:ascii="Verdana" w:hAnsi="Verdana"/>
          <w:sz w:val="20"/>
          <w:szCs w:val="20"/>
        </w:rPr>
      </w:pPr>
    </w:p>
    <w:sectPr w:rsidR="00923181" w:rsidRPr="003F636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B8B" w:rsidRDefault="00CA5B8B" w:rsidP="00800A9D">
      <w:pPr>
        <w:spacing w:after="0" w:line="240" w:lineRule="auto"/>
      </w:pPr>
      <w:r>
        <w:separator/>
      </w:r>
    </w:p>
  </w:endnote>
  <w:endnote w:type="continuationSeparator" w:id="0">
    <w:p w:rsidR="00CA5B8B" w:rsidRDefault="00CA5B8B" w:rsidP="0080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38" w:rsidRDefault="00836D38">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T.U. Prog</w:t>
    </w:r>
    <w:r w:rsidR="00EE4A52">
      <w:rPr>
        <w:rFonts w:asciiTheme="majorHAnsi" w:eastAsiaTheme="majorEastAsia" w:hAnsiTheme="majorHAnsi" w:cstheme="majorBidi"/>
      </w:rPr>
      <w:t xml:space="preserve">ramación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0B6C72" w:rsidRPr="000B6C72">
      <w:rPr>
        <w:rFonts w:asciiTheme="majorHAnsi" w:eastAsiaTheme="majorEastAsia" w:hAnsiTheme="majorHAnsi" w:cstheme="majorBidi"/>
        <w:noProof/>
        <w:lang w:val="es-ES"/>
      </w:rPr>
      <w:t>1</w:t>
    </w:r>
    <w:r>
      <w:rPr>
        <w:rFonts w:asciiTheme="majorHAnsi" w:eastAsiaTheme="majorEastAsia" w:hAnsiTheme="majorHAnsi" w:cstheme="majorBidi"/>
      </w:rPr>
      <w:fldChar w:fldCharType="end"/>
    </w:r>
  </w:p>
  <w:p w:rsidR="00836D38" w:rsidRDefault="00836D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B8B" w:rsidRDefault="00CA5B8B" w:rsidP="00800A9D">
      <w:pPr>
        <w:spacing w:after="0" w:line="240" w:lineRule="auto"/>
      </w:pPr>
      <w:r>
        <w:separator/>
      </w:r>
    </w:p>
  </w:footnote>
  <w:footnote w:type="continuationSeparator" w:id="0">
    <w:p w:rsidR="00CA5B8B" w:rsidRDefault="00CA5B8B" w:rsidP="0080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130"/>
    </w:tblGrid>
    <w:tr w:rsidR="00836D38">
      <w:trPr>
        <w:trHeight w:val="288"/>
      </w:trPr>
      <w:tc>
        <w:tcPr>
          <w:tcW w:w="7765" w:type="dxa"/>
        </w:tcPr>
        <w:p w:rsidR="00836D38" w:rsidRDefault="00CA5B8B" w:rsidP="00211682">
          <w:pPr>
            <w:pStyle w:val="Encabezado"/>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ítulo"/>
              <w:id w:val="77761602"/>
              <w:placeholder>
                <w:docPart w:val="2C9D6AF2AEDB45AF8384579B42489849"/>
              </w:placeholder>
              <w:dataBinding w:prefixMappings="xmlns:ns0='http://schemas.openxmlformats.org/package/2006/metadata/core-properties' xmlns:ns1='http://purl.org/dc/elements/1.1/'" w:xpath="/ns0:coreProperties[1]/ns1:title[1]" w:storeItemID="{6C3C8BC8-F283-45AE-878A-BAB7291924A1}"/>
              <w:text/>
            </w:sdtPr>
            <w:sdtEndPr/>
            <w:sdtContent>
              <w:r w:rsidR="00836D38">
                <w:rPr>
                  <w:rFonts w:asciiTheme="majorHAnsi" w:eastAsiaTheme="majorEastAsia" w:hAnsiTheme="majorHAnsi" w:cstheme="majorBidi"/>
                  <w:sz w:val="36"/>
                  <w:szCs w:val="36"/>
                </w:rPr>
                <w:t>Org. Co</w:t>
              </w:r>
              <w:r w:rsidR="000B6C72">
                <w:rPr>
                  <w:rFonts w:asciiTheme="majorHAnsi" w:eastAsiaTheme="majorEastAsia" w:hAnsiTheme="majorHAnsi" w:cstheme="majorBidi"/>
                  <w:sz w:val="36"/>
                  <w:szCs w:val="36"/>
                </w:rPr>
                <w:t>ntable de la Empresa – UTN</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1105" w:type="dxa"/>
            </w:tcPr>
            <w:p w:rsidR="00836D38" w:rsidRDefault="000B6C72" w:rsidP="00211682">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836D38" w:rsidRDefault="00836D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649"/>
    <w:multiLevelType w:val="hybridMultilevel"/>
    <w:tmpl w:val="57EC76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200311"/>
    <w:multiLevelType w:val="multilevel"/>
    <w:tmpl w:val="9826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C5CE9"/>
    <w:multiLevelType w:val="multilevel"/>
    <w:tmpl w:val="59AE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746C9"/>
    <w:multiLevelType w:val="multilevel"/>
    <w:tmpl w:val="AB4E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86179"/>
    <w:multiLevelType w:val="hybridMultilevel"/>
    <w:tmpl w:val="8FC64402"/>
    <w:lvl w:ilvl="0" w:tplc="D21069C2">
      <w:start w:val="5"/>
      <w:numFmt w:val="decimal"/>
      <w:lvlText w:val="%1"/>
      <w:lvlJc w:val="left"/>
      <w:pPr>
        <w:ind w:left="720" w:hanging="360"/>
      </w:pPr>
      <w:rPr>
        <w:rFonts w:hint="default"/>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DA371E"/>
    <w:multiLevelType w:val="multilevel"/>
    <w:tmpl w:val="8FF2D0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002908"/>
    <w:multiLevelType w:val="multilevel"/>
    <w:tmpl w:val="81762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1F52EE"/>
    <w:multiLevelType w:val="hybridMultilevel"/>
    <w:tmpl w:val="8DFC79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95D5688"/>
    <w:multiLevelType w:val="hybridMultilevel"/>
    <w:tmpl w:val="DE6C63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0"/>
  </w:num>
  <w:num w:numId="6">
    <w:abstractNumId w:val="8"/>
  </w:num>
  <w:num w:numId="7">
    <w:abstractNumId w:val="5"/>
    <w:lvlOverride w:ilvl="0">
      <w:startOverride w:val="2"/>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E4"/>
    <w:rsid w:val="00023AC7"/>
    <w:rsid w:val="000B6C72"/>
    <w:rsid w:val="0014441A"/>
    <w:rsid w:val="0014561D"/>
    <w:rsid w:val="00146B83"/>
    <w:rsid w:val="001511D0"/>
    <w:rsid w:val="001563D6"/>
    <w:rsid w:val="00211682"/>
    <w:rsid w:val="00293B4B"/>
    <w:rsid w:val="002D5DE4"/>
    <w:rsid w:val="003C7DBB"/>
    <w:rsid w:val="003F6360"/>
    <w:rsid w:val="004005D5"/>
    <w:rsid w:val="00424EB9"/>
    <w:rsid w:val="004C7D31"/>
    <w:rsid w:val="004D42C2"/>
    <w:rsid w:val="00502F32"/>
    <w:rsid w:val="00515AEF"/>
    <w:rsid w:val="00577105"/>
    <w:rsid w:val="006A07AF"/>
    <w:rsid w:val="00744F8D"/>
    <w:rsid w:val="00776C9E"/>
    <w:rsid w:val="007B189A"/>
    <w:rsid w:val="007C35A7"/>
    <w:rsid w:val="00800A9D"/>
    <w:rsid w:val="00836D38"/>
    <w:rsid w:val="00856D79"/>
    <w:rsid w:val="009049E1"/>
    <w:rsid w:val="00923181"/>
    <w:rsid w:val="00945805"/>
    <w:rsid w:val="0099567F"/>
    <w:rsid w:val="009F6574"/>
    <w:rsid w:val="00A51516"/>
    <w:rsid w:val="00AA7BD2"/>
    <w:rsid w:val="00AB5111"/>
    <w:rsid w:val="00B85C2F"/>
    <w:rsid w:val="00BA102F"/>
    <w:rsid w:val="00C25B45"/>
    <w:rsid w:val="00C8526B"/>
    <w:rsid w:val="00CA5B8B"/>
    <w:rsid w:val="00CB4931"/>
    <w:rsid w:val="00E11557"/>
    <w:rsid w:val="00E2033B"/>
    <w:rsid w:val="00E64ABC"/>
    <w:rsid w:val="00ED4609"/>
    <w:rsid w:val="00EE4A52"/>
    <w:rsid w:val="00F13067"/>
    <w:rsid w:val="00F225FA"/>
    <w:rsid w:val="00F668A9"/>
    <w:rsid w:val="00FD3B66"/>
    <w:rsid w:val="00FF05DA"/>
    <w:rsid w:val="00FF77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0F94D"/>
  <w15:docId w15:val="{FB80CABB-4FBA-4D2E-B9A2-9BFE6C75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2D5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2D5DE4"/>
    <w:rPr>
      <w:rFonts w:ascii="Courier New" w:eastAsia="Times New Roman" w:hAnsi="Courier New" w:cs="Courier New"/>
      <w:sz w:val="20"/>
      <w:szCs w:val="20"/>
      <w:lang w:eastAsia="es-AR"/>
    </w:rPr>
  </w:style>
  <w:style w:type="paragraph" w:styleId="NormalWeb">
    <w:name w:val="Normal (Web)"/>
    <w:basedOn w:val="Normal"/>
    <w:uiPriority w:val="99"/>
    <w:unhideWhenUsed/>
    <w:rsid w:val="00515AE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15AEF"/>
    <w:rPr>
      <w:b/>
      <w:bCs/>
    </w:rPr>
  </w:style>
  <w:style w:type="paragraph" w:styleId="Encabezado">
    <w:name w:val="header"/>
    <w:basedOn w:val="Normal"/>
    <w:link w:val="EncabezadoCar"/>
    <w:uiPriority w:val="99"/>
    <w:unhideWhenUsed/>
    <w:rsid w:val="00800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A9D"/>
  </w:style>
  <w:style w:type="paragraph" w:styleId="Piedepgina">
    <w:name w:val="footer"/>
    <w:basedOn w:val="Normal"/>
    <w:link w:val="PiedepginaCar"/>
    <w:uiPriority w:val="99"/>
    <w:unhideWhenUsed/>
    <w:rsid w:val="00800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A9D"/>
  </w:style>
  <w:style w:type="paragraph" w:styleId="Textodeglobo">
    <w:name w:val="Balloon Text"/>
    <w:basedOn w:val="Normal"/>
    <w:link w:val="TextodegloboCar"/>
    <w:uiPriority w:val="99"/>
    <w:semiHidden/>
    <w:unhideWhenUsed/>
    <w:rsid w:val="00800A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A9D"/>
    <w:rPr>
      <w:rFonts w:ascii="Tahoma" w:hAnsi="Tahoma" w:cs="Tahoma"/>
      <w:sz w:val="16"/>
      <w:szCs w:val="16"/>
    </w:rPr>
  </w:style>
  <w:style w:type="paragraph" w:styleId="Prrafodelista">
    <w:name w:val="List Paragraph"/>
    <w:basedOn w:val="Normal"/>
    <w:uiPriority w:val="34"/>
    <w:qFormat/>
    <w:rsid w:val="00146B83"/>
    <w:pPr>
      <w:ind w:left="720"/>
      <w:contextualSpacing/>
    </w:pPr>
  </w:style>
  <w:style w:type="character" w:styleId="nfasis">
    <w:name w:val="Emphasis"/>
    <w:basedOn w:val="Fuentedeprrafopredeter"/>
    <w:uiPriority w:val="20"/>
    <w:qFormat/>
    <w:rsid w:val="00E64ABC"/>
    <w:rPr>
      <w:i/>
      <w:iCs/>
    </w:rPr>
  </w:style>
  <w:style w:type="table" w:styleId="Tablaconcuadrcula">
    <w:name w:val="Table Grid"/>
    <w:basedOn w:val="Tablanormal"/>
    <w:uiPriority w:val="59"/>
    <w:rsid w:val="0074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8133">
      <w:bodyDiv w:val="1"/>
      <w:marLeft w:val="0"/>
      <w:marRight w:val="0"/>
      <w:marTop w:val="0"/>
      <w:marBottom w:val="0"/>
      <w:divBdr>
        <w:top w:val="none" w:sz="0" w:space="0" w:color="auto"/>
        <w:left w:val="none" w:sz="0" w:space="0" w:color="auto"/>
        <w:bottom w:val="none" w:sz="0" w:space="0" w:color="auto"/>
        <w:right w:val="none" w:sz="0" w:space="0" w:color="auto"/>
      </w:divBdr>
    </w:div>
    <w:div w:id="121114107">
      <w:bodyDiv w:val="1"/>
      <w:marLeft w:val="0"/>
      <w:marRight w:val="0"/>
      <w:marTop w:val="0"/>
      <w:marBottom w:val="0"/>
      <w:divBdr>
        <w:top w:val="none" w:sz="0" w:space="0" w:color="auto"/>
        <w:left w:val="none" w:sz="0" w:space="0" w:color="auto"/>
        <w:bottom w:val="none" w:sz="0" w:space="0" w:color="auto"/>
        <w:right w:val="none" w:sz="0" w:space="0" w:color="auto"/>
      </w:divBdr>
    </w:div>
    <w:div w:id="202522347">
      <w:bodyDiv w:val="1"/>
      <w:marLeft w:val="0"/>
      <w:marRight w:val="0"/>
      <w:marTop w:val="0"/>
      <w:marBottom w:val="0"/>
      <w:divBdr>
        <w:top w:val="none" w:sz="0" w:space="0" w:color="auto"/>
        <w:left w:val="none" w:sz="0" w:space="0" w:color="auto"/>
        <w:bottom w:val="none" w:sz="0" w:space="0" w:color="auto"/>
        <w:right w:val="none" w:sz="0" w:space="0" w:color="auto"/>
      </w:divBdr>
      <w:divsChild>
        <w:div w:id="159280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927027">
      <w:bodyDiv w:val="1"/>
      <w:marLeft w:val="0"/>
      <w:marRight w:val="0"/>
      <w:marTop w:val="0"/>
      <w:marBottom w:val="0"/>
      <w:divBdr>
        <w:top w:val="none" w:sz="0" w:space="0" w:color="auto"/>
        <w:left w:val="none" w:sz="0" w:space="0" w:color="auto"/>
        <w:bottom w:val="none" w:sz="0" w:space="0" w:color="auto"/>
        <w:right w:val="none" w:sz="0" w:space="0" w:color="auto"/>
      </w:divBdr>
    </w:div>
    <w:div w:id="635062010">
      <w:bodyDiv w:val="1"/>
      <w:marLeft w:val="0"/>
      <w:marRight w:val="0"/>
      <w:marTop w:val="0"/>
      <w:marBottom w:val="0"/>
      <w:divBdr>
        <w:top w:val="none" w:sz="0" w:space="0" w:color="auto"/>
        <w:left w:val="none" w:sz="0" w:space="0" w:color="auto"/>
        <w:bottom w:val="none" w:sz="0" w:space="0" w:color="auto"/>
        <w:right w:val="none" w:sz="0" w:space="0" w:color="auto"/>
      </w:divBdr>
    </w:div>
    <w:div w:id="789596090">
      <w:bodyDiv w:val="1"/>
      <w:marLeft w:val="0"/>
      <w:marRight w:val="0"/>
      <w:marTop w:val="0"/>
      <w:marBottom w:val="0"/>
      <w:divBdr>
        <w:top w:val="none" w:sz="0" w:space="0" w:color="auto"/>
        <w:left w:val="none" w:sz="0" w:space="0" w:color="auto"/>
        <w:bottom w:val="none" w:sz="0" w:space="0" w:color="auto"/>
        <w:right w:val="none" w:sz="0" w:space="0" w:color="auto"/>
      </w:divBdr>
    </w:div>
    <w:div w:id="840923489">
      <w:bodyDiv w:val="1"/>
      <w:marLeft w:val="0"/>
      <w:marRight w:val="0"/>
      <w:marTop w:val="0"/>
      <w:marBottom w:val="0"/>
      <w:divBdr>
        <w:top w:val="none" w:sz="0" w:space="0" w:color="auto"/>
        <w:left w:val="none" w:sz="0" w:space="0" w:color="auto"/>
        <w:bottom w:val="none" w:sz="0" w:space="0" w:color="auto"/>
        <w:right w:val="none" w:sz="0" w:space="0" w:color="auto"/>
      </w:divBdr>
    </w:div>
    <w:div w:id="904560224">
      <w:bodyDiv w:val="1"/>
      <w:marLeft w:val="0"/>
      <w:marRight w:val="0"/>
      <w:marTop w:val="0"/>
      <w:marBottom w:val="0"/>
      <w:divBdr>
        <w:top w:val="none" w:sz="0" w:space="0" w:color="auto"/>
        <w:left w:val="none" w:sz="0" w:space="0" w:color="auto"/>
        <w:bottom w:val="none" w:sz="0" w:space="0" w:color="auto"/>
        <w:right w:val="none" w:sz="0" w:space="0" w:color="auto"/>
      </w:divBdr>
    </w:div>
    <w:div w:id="1077481918">
      <w:bodyDiv w:val="1"/>
      <w:marLeft w:val="0"/>
      <w:marRight w:val="0"/>
      <w:marTop w:val="0"/>
      <w:marBottom w:val="0"/>
      <w:divBdr>
        <w:top w:val="none" w:sz="0" w:space="0" w:color="auto"/>
        <w:left w:val="none" w:sz="0" w:space="0" w:color="auto"/>
        <w:bottom w:val="none" w:sz="0" w:space="0" w:color="auto"/>
        <w:right w:val="none" w:sz="0" w:space="0" w:color="auto"/>
      </w:divBdr>
    </w:div>
    <w:div w:id="1167791784">
      <w:bodyDiv w:val="1"/>
      <w:marLeft w:val="0"/>
      <w:marRight w:val="0"/>
      <w:marTop w:val="0"/>
      <w:marBottom w:val="0"/>
      <w:divBdr>
        <w:top w:val="none" w:sz="0" w:space="0" w:color="auto"/>
        <w:left w:val="none" w:sz="0" w:space="0" w:color="auto"/>
        <w:bottom w:val="none" w:sz="0" w:space="0" w:color="auto"/>
        <w:right w:val="none" w:sz="0" w:space="0" w:color="auto"/>
      </w:divBdr>
      <w:divsChild>
        <w:div w:id="501550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90257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1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1400099">
      <w:bodyDiv w:val="1"/>
      <w:marLeft w:val="0"/>
      <w:marRight w:val="0"/>
      <w:marTop w:val="0"/>
      <w:marBottom w:val="0"/>
      <w:divBdr>
        <w:top w:val="none" w:sz="0" w:space="0" w:color="auto"/>
        <w:left w:val="none" w:sz="0" w:space="0" w:color="auto"/>
        <w:bottom w:val="none" w:sz="0" w:space="0" w:color="auto"/>
        <w:right w:val="none" w:sz="0" w:space="0" w:color="auto"/>
      </w:divBdr>
    </w:div>
    <w:div w:id="1325087540">
      <w:bodyDiv w:val="1"/>
      <w:marLeft w:val="0"/>
      <w:marRight w:val="0"/>
      <w:marTop w:val="0"/>
      <w:marBottom w:val="0"/>
      <w:divBdr>
        <w:top w:val="none" w:sz="0" w:space="0" w:color="auto"/>
        <w:left w:val="none" w:sz="0" w:space="0" w:color="auto"/>
        <w:bottom w:val="none" w:sz="0" w:space="0" w:color="auto"/>
        <w:right w:val="none" w:sz="0" w:space="0" w:color="auto"/>
      </w:divBdr>
    </w:div>
    <w:div w:id="1373119239">
      <w:bodyDiv w:val="1"/>
      <w:marLeft w:val="0"/>
      <w:marRight w:val="0"/>
      <w:marTop w:val="0"/>
      <w:marBottom w:val="0"/>
      <w:divBdr>
        <w:top w:val="none" w:sz="0" w:space="0" w:color="auto"/>
        <w:left w:val="none" w:sz="0" w:space="0" w:color="auto"/>
        <w:bottom w:val="none" w:sz="0" w:space="0" w:color="auto"/>
        <w:right w:val="none" w:sz="0" w:space="0" w:color="auto"/>
      </w:divBdr>
    </w:div>
    <w:div w:id="1523863233">
      <w:bodyDiv w:val="1"/>
      <w:marLeft w:val="0"/>
      <w:marRight w:val="0"/>
      <w:marTop w:val="0"/>
      <w:marBottom w:val="0"/>
      <w:divBdr>
        <w:top w:val="none" w:sz="0" w:space="0" w:color="auto"/>
        <w:left w:val="none" w:sz="0" w:space="0" w:color="auto"/>
        <w:bottom w:val="none" w:sz="0" w:space="0" w:color="auto"/>
        <w:right w:val="none" w:sz="0" w:space="0" w:color="auto"/>
      </w:divBdr>
    </w:div>
    <w:div w:id="1603561986">
      <w:bodyDiv w:val="1"/>
      <w:marLeft w:val="0"/>
      <w:marRight w:val="0"/>
      <w:marTop w:val="0"/>
      <w:marBottom w:val="0"/>
      <w:divBdr>
        <w:top w:val="none" w:sz="0" w:space="0" w:color="auto"/>
        <w:left w:val="none" w:sz="0" w:space="0" w:color="auto"/>
        <w:bottom w:val="none" w:sz="0" w:space="0" w:color="auto"/>
        <w:right w:val="none" w:sz="0" w:space="0" w:color="auto"/>
      </w:divBdr>
    </w:div>
    <w:div w:id="1632708832">
      <w:bodyDiv w:val="1"/>
      <w:marLeft w:val="0"/>
      <w:marRight w:val="0"/>
      <w:marTop w:val="0"/>
      <w:marBottom w:val="0"/>
      <w:divBdr>
        <w:top w:val="none" w:sz="0" w:space="0" w:color="auto"/>
        <w:left w:val="none" w:sz="0" w:space="0" w:color="auto"/>
        <w:bottom w:val="none" w:sz="0" w:space="0" w:color="auto"/>
        <w:right w:val="none" w:sz="0" w:space="0" w:color="auto"/>
      </w:divBdr>
    </w:div>
    <w:div w:id="1808010447">
      <w:bodyDiv w:val="1"/>
      <w:marLeft w:val="0"/>
      <w:marRight w:val="0"/>
      <w:marTop w:val="0"/>
      <w:marBottom w:val="0"/>
      <w:divBdr>
        <w:top w:val="none" w:sz="0" w:space="0" w:color="auto"/>
        <w:left w:val="none" w:sz="0" w:space="0" w:color="auto"/>
        <w:bottom w:val="none" w:sz="0" w:space="0" w:color="auto"/>
        <w:right w:val="none" w:sz="0" w:space="0" w:color="auto"/>
      </w:divBdr>
    </w:div>
    <w:div w:id="2024697188">
      <w:bodyDiv w:val="1"/>
      <w:marLeft w:val="0"/>
      <w:marRight w:val="0"/>
      <w:marTop w:val="0"/>
      <w:marBottom w:val="0"/>
      <w:divBdr>
        <w:top w:val="none" w:sz="0" w:space="0" w:color="auto"/>
        <w:left w:val="none" w:sz="0" w:space="0" w:color="auto"/>
        <w:bottom w:val="none" w:sz="0" w:space="0" w:color="auto"/>
        <w:right w:val="none" w:sz="0" w:space="0" w:color="auto"/>
      </w:divBdr>
    </w:div>
    <w:div w:id="2026518611">
      <w:bodyDiv w:val="1"/>
      <w:marLeft w:val="0"/>
      <w:marRight w:val="0"/>
      <w:marTop w:val="0"/>
      <w:marBottom w:val="0"/>
      <w:divBdr>
        <w:top w:val="none" w:sz="0" w:space="0" w:color="auto"/>
        <w:left w:val="none" w:sz="0" w:space="0" w:color="auto"/>
        <w:bottom w:val="none" w:sz="0" w:space="0" w:color="auto"/>
        <w:right w:val="none" w:sz="0" w:space="0" w:color="auto"/>
      </w:divBdr>
    </w:div>
    <w:div w:id="208286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9D6AF2AEDB45AF8384579B42489849"/>
        <w:category>
          <w:name w:val="General"/>
          <w:gallery w:val="placeholder"/>
        </w:category>
        <w:types>
          <w:type w:val="bbPlcHdr"/>
        </w:types>
        <w:behaviors>
          <w:behavior w:val="content"/>
        </w:behaviors>
        <w:guid w:val="{8446684A-67A7-48FB-A974-E7C5C1B09302}"/>
      </w:docPartPr>
      <w:docPartBody>
        <w:p w:rsidR="004532DB" w:rsidRDefault="00FE3858" w:rsidP="00FE3858">
          <w:pPr>
            <w:pStyle w:val="2C9D6AF2AEDB45AF8384579B42489849"/>
          </w:pPr>
          <w:r>
            <w:rPr>
              <w:rFonts w:asciiTheme="majorHAnsi" w:eastAsiaTheme="majorEastAsia" w:hAnsiTheme="majorHAnsi" w:cstheme="majorBidi"/>
              <w:sz w:val="36"/>
              <w:szCs w:val="36"/>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58"/>
    <w:rsid w:val="002B6D21"/>
    <w:rsid w:val="003D5A71"/>
    <w:rsid w:val="004532DB"/>
    <w:rsid w:val="006A305A"/>
    <w:rsid w:val="00774139"/>
    <w:rsid w:val="008D53EE"/>
    <w:rsid w:val="00FE38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C9D6AF2AEDB45AF8384579B42489849">
    <w:name w:val="2C9D6AF2AEDB45AF8384579B42489849"/>
    <w:rsid w:val="00FE3858"/>
  </w:style>
  <w:style w:type="paragraph" w:customStyle="1" w:styleId="6B8AD2977C744AA4AA78E85094EEB193">
    <w:name w:val="6B8AD2977C744AA4AA78E85094EEB193"/>
    <w:rsid w:val="00FE3858"/>
  </w:style>
  <w:style w:type="paragraph" w:customStyle="1" w:styleId="33BA221109DB4F4E8817581805FE6443">
    <w:name w:val="33BA221109DB4F4E8817581805FE6443"/>
    <w:rsid w:val="00FE3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Org. Contable de la Empresa – UTN FRMdP</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Contable de la Empresa – UTN</dc:title>
  <dc:creator>Cristian Lauman</dc:creator>
  <cp:lastModifiedBy>Usuario</cp:lastModifiedBy>
  <cp:revision>3</cp:revision>
  <dcterms:created xsi:type="dcterms:W3CDTF">2021-03-14T14:19:00Z</dcterms:created>
  <dcterms:modified xsi:type="dcterms:W3CDTF">2023-03-04T14:51:00Z</dcterms:modified>
</cp:coreProperties>
</file>