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214k5ean98x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Anexo – Jurisprudencia citada en la clase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g61ndf8xzc00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Ponzetti de Balbín c/ Editorial Atlántida (1984)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Tribunal: Corte Suprema de Justicia de la Nación Argentina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j329zagujwe1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Hechos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La revista </w:t>
      </w:r>
      <w:r w:rsidDel="00000000" w:rsidR="00000000" w:rsidRPr="00000000">
        <w:rPr>
          <w:i w:val="1"/>
          <w:iCs w:val="1"/>
          <w:rtl w:val="0"/>
        </w:rPr>
        <w:t xml:space="preserve">Gente</w:t>
      </w:r>
      <w:r w:rsidDel="00000000" w:rsidR="00000000" w:rsidRPr="00000000">
        <w:rPr>
          <w:rtl w:val="0"/>
        </w:rPr>
        <w:t xml:space="preserve">, perteneciente a la editorial Atlántida, publicó una fotografía del dirigente político </w:t>
      </w:r>
      <w:r w:rsidDel="00000000" w:rsidR="00000000" w:rsidRPr="00000000">
        <w:rPr>
          <w:b w:val="1"/>
          <w:bCs w:val="1"/>
          <w:rtl w:val="0"/>
        </w:rPr>
        <w:t xml:space="preserve">Ricardo Balbín</w:t>
      </w:r>
      <w:r w:rsidDel="00000000" w:rsidR="00000000" w:rsidRPr="00000000">
        <w:rPr>
          <w:rtl w:val="0"/>
        </w:rPr>
        <w:t xml:space="preserve"> cuando se encontraba internado en estado de gravedad en una clínica.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La imagen fue publicada sin autorización de su familia.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Los familiares consideraron que la publicación afectaba el </w:t>
      </w:r>
      <w:r w:rsidDel="00000000" w:rsidR="00000000" w:rsidRPr="00000000">
        <w:rPr>
          <w:b w:val="1"/>
          <w:bCs w:val="1"/>
          <w:rtl w:val="0"/>
        </w:rPr>
        <w:t xml:space="preserve">derecho a la intimidad y a la dignidad personal</w:t>
      </w:r>
      <w:r w:rsidDel="00000000" w:rsidR="00000000" w:rsidRPr="00000000">
        <w:rPr>
          <w:rtl w:val="0"/>
        </w:rPr>
        <w:t xml:space="preserve">, por lo que iniciaron una demanda contra la editorial.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f07fxwq7svtm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Cuestión jurídica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El problema central era determinar si la publicación de la imagen estaba protegida por la </w:t>
      </w:r>
      <w:r w:rsidDel="00000000" w:rsidR="00000000" w:rsidRPr="00000000">
        <w:rPr>
          <w:b w:val="1"/>
          <w:bCs w:val="1"/>
          <w:rtl w:val="0"/>
        </w:rPr>
        <w:t xml:space="preserve">libertad de prensa</w:t>
      </w:r>
      <w:r w:rsidDel="00000000" w:rsidR="00000000" w:rsidRPr="00000000">
        <w:rPr>
          <w:rtl w:val="0"/>
        </w:rPr>
        <w:t xml:space="preserve"> o si, por el contrario, vulneraba el </w:t>
      </w:r>
      <w:r w:rsidDel="00000000" w:rsidR="00000000" w:rsidRPr="00000000">
        <w:rPr>
          <w:b w:val="1"/>
          <w:bCs w:val="1"/>
          <w:rtl w:val="0"/>
        </w:rPr>
        <w:t xml:space="preserve">derecho a la intimidad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e72srx46869y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Decisión de la Corte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La Corte Suprema sostuvo que la difusión de imágenes vinculadas a la vida privada de una persona puede constituir una violación al derecho a la intimidad, aun cuando se trate de una figura pública.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El tribunal afirmó que:</w:t>
      </w:r>
    </w:p>
    <w:p w:rsidR="00000000" w:rsidDel="00000000" w:rsidP="00000000" w:rsidRDefault="00000000" w:rsidRPr="00000000" w14:paraId="0000000E">
      <w:pPr>
        <w:ind w:left="600" w:right="600" w:firstLine="0"/>
        <w:rPr/>
      </w:pPr>
      <w:r w:rsidDel="00000000" w:rsidR="00000000" w:rsidRPr="00000000">
        <w:rPr>
          <w:rtl w:val="0"/>
        </w:rPr>
        <w:t xml:space="preserve">el derecho a la información no es absoluto y debe respetar la esfera privada de las personas.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oiu5e28k5cui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Importancia del fallo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Este precedente es uno de los más importantes en Argentina sobre: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derecho a la intimidad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protección de la vida privada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límites a la libertad de prensa.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En la actualidad, estos principios se aplican también en el ámbito digital, por ejemplo en casos de </w:t>
      </w:r>
      <w:r w:rsidDel="00000000" w:rsidR="00000000" w:rsidRPr="00000000">
        <w:rPr>
          <w:b w:val="1"/>
          <w:bCs w:val="1"/>
          <w:rtl w:val="0"/>
        </w:rPr>
        <w:t xml:space="preserve">difusión de información personal en internet o redes sociales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t99n60mss5dj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Halabi c/ Poder Ejecutivo Nacional (2009)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Tribunal: Corte Suprema de Justicia de la Nación Argentina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y9bwgu1swg9f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Hechos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El abogado </w:t>
      </w:r>
      <w:r w:rsidDel="00000000" w:rsidR="00000000" w:rsidRPr="00000000">
        <w:rPr>
          <w:b w:val="1"/>
          <w:bCs w:val="1"/>
          <w:rtl w:val="0"/>
        </w:rPr>
        <w:t xml:space="preserve">Ernesto Halabi</w:t>
      </w:r>
      <w:r w:rsidDel="00000000" w:rsidR="00000000" w:rsidRPr="00000000">
        <w:rPr>
          <w:rtl w:val="0"/>
        </w:rPr>
        <w:t xml:space="preserve"> promovió una acción judicial contra normas que autorizaban al Estado a intervenir comunicaciones telefónicas y digitales sin controles suficientes.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Halabi argumentó que estas normas violaban derechos constitucionales relacionados con: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la privacidad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el secreto de las comunicaciones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la protección de datos personales.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aos1i2n3byr6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Cuestión jurídica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La Corte debía analizar si las normas que permitían interceptar comunicaciones eran compatibles con los derechos constitucionales.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drlgdlrq1430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Decisión de la Corte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La Corte declaró la </w:t>
      </w:r>
      <w:r w:rsidDel="00000000" w:rsidR="00000000" w:rsidRPr="00000000">
        <w:rPr>
          <w:b w:val="1"/>
          <w:bCs w:val="1"/>
          <w:rtl w:val="0"/>
        </w:rPr>
        <w:t xml:space="preserve">inconstitucionalidad de la normativa</w:t>
      </w:r>
      <w:r w:rsidDel="00000000" w:rsidR="00000000" w:rsidRPr="00000000">
        <w:rPr>
          <w:rtl w:val="0"/>
        </w:rPr>
        <w:t xml:space="preserve"> cuestionada por considerar que afectaba el derecho a la privacidad.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Además, el tribunal reconoció una categoría especial de derechos denominada:</w:t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derechos de incidencia colectiva referentes a intereses individuales homogéneos.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Esto permitió que una sola acción judicial protegiera a </w:t>
      </w:r>
      <w:r w:rsidDel="00000000" w:rsidR="00000000" w:rsidRPr="00000000">
        <w:rPr>
          <w:b w:val="1"/>
          <w:bCs w:val="1"/>
          <w:rtl w:val="0"/>
        </w:rPr>
        <w:t xml:space="preserve">todas las personas potencialmente afectadas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hyykykedmptq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Importancia del fallo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Este fallo es fundamental porque: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fortaleció la protección de la </w:t>
      </w:r>
      <w:r w:rsidDel="00000000" w:rsidR="00000000" w:rsidRPr="00000000">
        <w:rPr>
          <w:b w:val="1"/>
          <w:bCs w:val="1"/>
          <w:rtl w:val="0"/>
        </w:rPr>
        <w:t xml:space="preserve">privacidad y las comunicaciones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sentó bases para la </w:t>
      </w:r>
      <w:r w:rsidDel="00000000" w:rsidR="00000000" w:rsidRPr="00000000">
        <w:rPr>
          <w:b w:val="1"/>
          <w:bCs w:val="1"/>
          <w:rtl w:val="0"/>
        </w:rPr>
        <w:t xml:space="preserve">protección de datos personales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consolidó el uso de </w:t>
      </w:r>
      <w:r w:rsidDel="00000000" w:rsidR="00000000" w:rsidRPr="00000000">
        <w:rPr>
          <w:b w:val="1"/>
          <w:bCs w:val="1"/>
          <w:rtl w:val="0"/>
        </w:rPr>
        <w:t xml:space="preserve">acciones colectivas</w:t>
      </w:r>
      <w:r w:rsidDel="00000000" w:rsidR="00000000" w:rsidRPr="00000000">
        <w:rPr>
          <w:rtl w:val="0"/>
        </w:rPr>
        <w:t xml:space="preserve"> en el derecho argentino.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En la actualidad, este precedente se cita frecuentemente en debates sobre: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vigilancia estatal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tratamiento masivo de datos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privacidad digital.</w:t>
      </w:r>
    </w:p>
    <w:p w:rsidR="00000000" w:rsidDel="00000000" w:rsidP="00000000" w:rsidRDefault="00000000" w:rsidRPr="00000000" w14:paraId="0000002E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v6nmvrbxahk2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State v. Loomis (2016)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Tribunal: Supreme Court of Wisconsin – Estados Unidos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6zkr9fd198tj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Hechos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Eric Loomis fue condenado por delitos relacionados con conducción de un vehículo utilizado en un tiroteo.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Durante el proceso judicial se utilizó un sistema algorítmico llamado </w:t>
      </w:r>
      <w:r w:rsidDel="00000000" w:rsidR="00000000" w:rsidRPr="00000000">
        <w:rPr>
          <w:b w:val="1"/>
          <w:bCs w:val="1"/>
          <w:rtl w:val="0"/>
        </w:rPr>
        <w:t xml:space="preserve">COMPAS</w:t>
      </w:r>
      <w:r w:rsidDel="00000000" w:rsidR="00000000" w:rsidRPr="00000000">
        <w:rPr>
          <w:rtl w:val="0"/>
        </w:rPr>
        <w:t xml:space="preserve">, que calcula la probabilidad de reincidencia de una persona.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El algoritmo generó un informe que indicaba que Loomis tenía </w:t>
      </w:r>
      <w:r w:rsidDel="00000000" w:rsidR="00000000" w:rsidRPr="00000000">
        <w:rPr>
          <w:b w:val="1"/>
          <w:bCs w:val="1"/>
          <w:rtl w:val="0"/>
        </w:rPr>
        <w:t xml:space="preserve">alto riesgo de reincidir</w:t>
      </w:r>
      <w:r w:rsidDel="00000000" w:rsidR="00000000" w:rsidRPr="00000000">
        <w:rPr>
          <w:rtl w:val="0"/>
        </w:rPr>
        <w:t xml:space="preserve">, lo que influyó en la decisión judicial sobre su condena.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y9ktf95x1si5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Cuestión jurídica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Loomis argumentó que se violaba su derecho al debido proceso porque: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el algoritmo era propiedad de una empresa privada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su funcionamiento era secreto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no podía cuestionar cómo se había calculado su riesgo de reincidencia.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xd8wm2iqcyek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Decisión del tribunal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El tribunal permitió el uso del algoritmo como herramienta auxiliar, pero estableció límites claros: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el algoritmo </w:t>
      </w:r>
      <w:r w:rsidDel="00000000" w:rsidR="00000000" w:rsidRPr="00000000">
        <w:rPr>
          <w:b w:val="1"/>
          <w:bCs w:val="1"/>
          <w:rtl w:val="0"/>
        </w:rPr>
        <w:t xml:space="preserve">no puede ser el único fundamento de una sentencia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los jueces deben considerar otros factores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debe advertirse que estos sistemas pueden contener </w:t>
      </w:r>
      <w:r w:rsidDel="00000000" w:rsidR="00000000" w:rsidRPr="00000000">
        <w:rPr>
          <w:b w:val="1"/>
          <w:bCs w:val="1"/>
          <w:rtl w:val="0"/>
        </w:rPr>
        <w:t xml:space="preserve">sesgos o errores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9ddv4r8thxzz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Importancia del fallo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Este caso es uno de los precedentes más citados en el debate sobre </w:t>
      </w:r>
      <w:r w:rsidDel="00000000" w:rsidR="00000000" w:rsidRPr="00000000">
        <w:rPr>
          <w:b w:val="1"/>
          <w:bCs w:val="1"/>
          <w:rtl w:val="0"/>
        </w:rPr>
        <w:t xml:space="preserve">inteligencia artificial y justicia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Plantea problemas jurídicos clave: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transparencia algorítmica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sesgos en inteligencia artificial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impacto de algoritmos en decisiones judiciales.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Estos temas forman parte del campo emergente del </w:t>
      </w:r>
      <w:r w:rsidDel="00000000" w:rsidR="00000000" w:rsidRPr="00000000">
        <w:rPr>
          <w:b w:val="1"/>
          <w:bCs w:val="1"/>
          <w:rtl w:val="0"/>
        </w:rPr>
        <w:t xml:space="preserve">derecho y tecnología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6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agu6dlmeoadm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Conclusión del anexo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Los fallos analizados muestran cómo el derecho se adapta a nuevos problemas sociales.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Mientras que los casos </w:t>
      </w:r>
      <w:r w:rsidDel="00000000" w:rsidR="00000000" w:rsidRPr="00000000">
        <w:rPr>
          <w:b w:val="1"/>
          <w:bCs w:val="1"/>
          <w:rtl w:val="0"/>
        </w:rPr>
        <w:t xml:space="preserve">Ponzetti de Balbín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b w:val="1"/>
          <w:bCs w:val="1"/>
          <w:rtl w:val="0"/>
        </w:rPr>
        <w:t xml:space="preserve">Halabi</w:t>
      </w:r>
      <w:r w:rsidDel="00000000" w:rsidR="00000000" w:rsidRPr="00000000">
        <w:rPr>
          <w:rtl w:val="0"/>
        </w:rPr>
        <w:t xml:space="preserve"> se relacionan con la protección de la intimidad y los datos personales, el caso </w:t>
      </w:r>
      <w:r w:rsidDel="00000000" w:rsidR="00000000" w:rsidRPr="00000000">
        <w:rPr>
          <w:b w:val="1"/>
          <w:bCs w:val="1"/>
          <w:rtl w:val="0"/>
        </w:rPr>
        <w:t xml:space="preserve">Loomis</w:t>
      </w:r>
      <w:r w:rsidDel="00000000" w:rsidR="00000000" w:rsidRPr="00000000">
        <w:rPr>
          <w:rtl w:val="0"/>
        </w:rPr>
        <w:t xml:space="preserve"> refleja los desafíos actuales que plantea el uso de </w:t>
      </w:r>
      <w:r w:rsidDel="00000000" w:rsidR="00000000" w:rsidRPr="00000000">
        <w:rPr>
          <w:b w:val="1"/>
          <w:bCs w:val="1"/>
          <w:rtl w:val="0"/>
        </w:rPr>
        <w:t xml:space="preserve">inteligencia artificial en la toma de decisiones que afectan derechos fundamentales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Esto demuestra que el derecho evoluciona constantemente para responder a los cambios tecnológicos y sociales.</w:t>
      </w:r>
    </w:p>
    <w:p w:rsidR="00000000" w:rsidDel="00000000" w:rsidP="00000000" w:rsidRDefault="00000000" w:rsidRPr="00000000" w14:paraId="0000004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-1984.251968503937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.8582677165355" w:top="2834.645669291339" w:left="2834.645669291339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spacing w:line="240" w:lineRule="auto"/>
      <w:ind w:left="-1842.51968503937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- </w:t>
    </w:r>
    <w:r w:rsidDel="00000000" w:rsidR="00000000" w:rsidRPr="00000000">
      <w:rPr>
        <w:b w:val="1"/>
        <w:bCs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 -</w:t>
    </w:r>
  </w:p>
  <w:p w:rsidR="00000000" w:rsidDel="00000000" w:rsidP="00000000" w:rsidRDefault="00000000" w:rsidRPr="00000000" w14:paraId="0000004F">
    <w:pPr>
      <w:spacing w:line="240" w:lineRule="auto"/>
      <w:ind w:left="-1842.51968503937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LEGISLACIÓN</w:t>
    </w:r>
  </w:p>
  <w:p w:rsidR="00000000" w:rsidDel="00000000" w:rsidP="00000000" w:rsidRDefault="00000000" w:rsidRPr="00000000" w14:paraId="00000050">
    <w:pPr>
      <w:spacing w:line="240" w:lineRule="auto"/>
      <w:ind w:left="-1842.51968503937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Extensión Áulica UTN Necochea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847975" cy="923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7975" cy="923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alatino Linotype" w:cs="Palatino Linotype" w:eastAsia="Palatino Linotype" w:hAnsi="Palatino Linotype"/>
        <w:sz w:val="24"/>
        <w:szCs w:val="24"/>
        <w:lang w:val="es_419"/>
      </w:rPr>
    </w:rPrDefault>
    <w:pPrDefault>
      <w:pPr>
        <w:spacing w:after="240" w:before="2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