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phypfqv2qf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Anexo – Material complementario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6ly7978dza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Constitución, derechos y protección de datos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El desarrollo de las tecnologías de la información ha generado nuevos desafíos para la protección de los derechos fundamentales, especialmente en relación con la </w:t>
      </w:r>
      <w:r w:rsidDel="00000000" w:rsidR="00000000" w:rsidRPr="00000000">
        <w:rPr>
          <w:b w:val="1"/>
          <w:bCs w:val="1"/>
          <w:rtl w:val="0"/>
        </w:rPr>
        <w:t xml:space="preserve">privacidad, la protección de datos personales y la libertad de expresión en internet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 el derecho argentino, estos temas han sido abordados tanto por la legislación como por la jurisprudencia de la Corte Suprema de Justicia de la Nación.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9cix96500y9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Ley 25.326 – Protección de Datos Personales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Ley 25.326 de Protección de Datos Personales</w:t>
      </w:r>
      <w:r w:rsidDel="00000000" w:rsidR="00000000" w:rsidRPr="00000000">
        <w:rPr>
          <w:rtl w:val="0"/>
        </w:rPr>
        <w:t xml:space="preserve">, sancionada en el año 2000, regula el tratamiento de datos personales contenidos en archivos, registros o bancos de datos, tanto públicos como privados.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Su objetivo principal es garantizar el derecho al </w:t>
      </w:r>
      <w:r w:rsidDel="00000000" w:rsidR="00000000" w:rsidRPr="00000000">
        <w:rPr>
          <w:b w:val="1"/>
          <w:bCs w:val="1"/>
          <w:rtl w:val="0"/>
        </w:rPr>
        <w:t xml:space="preserve">honor, a la intimidad y a la autodeterminación informativa</w:t>
      </w:r>
      <w:r w:rsidDel="00000000" w:rsidR="00000000" w:rsidRPr="00000000">
        <w:rPr>
          <w:rtl w:val="0"/>
        </w:rPr>
        <w:t xml:space="preserve"> de las personas.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 ley establece principios fundamentales para el tratamiento de datos, entre ellos: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principio de consentimiento</w:t>
      </w:r>
      <w:r w:rsidDel="00000000" w:rsidR="00000000" w:rsidRPr="00000000">
        <w:rPr>
          <w:rtl w:val="0"/>
        </w:rPr>
        <w:t xml:space="preserve">: los datos personales solo pueden ser recolectados con el consentimiento del titular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principio de finalidad</w:t>
      </w:r>
      <w:r w:rsidDel="00000000" w:rsidR="00000000" w:rsidRPr="00000000">
        <w:rPr>
          <w:rtl w:val="0"/>
        </w:rPr>
        <w:t xml:space="preserve">: los datos deben utilizarse únicamente para el propósito para el cual fueron recolectados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principio de calidad de los datos</w:t>
      </w:r>
      <w:r w:rsidDel="00000000" w:rsidR="00000000" w:rsidRPr="00000000">
        <w:rPr>
          <w:rtl w:val="0"/>
        </w:rPr>
        <w:t xml:space="preserve">: los datos deben ser exactos y actualizados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principio de seguridad</w:t>
      </w:r>
      <w:r w:rsidDel="00000000" w:rsidR="00000000" w:rsidRPr="00000000">
        <w:rPr>
          <w:rtl w:val="0"/>
        </w:rPr>
        <w:t xml:space="preserve">: deben adoptarse medidas para evitar accesos no autorizados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 ley también reconoce el derecho de las personas a ejercer el </w:t>
      </w:r>
      <w:r w:rsidDel="00000000" w:rsidR="00000000" w:rsidRPr="00000000">
        <w:rPr>
          <w:b w:val="1"/>
          <w:bCs w:val="1"/>
          <w:rtl w:val="0"/>
        </w:rPr>
        <w:t xml:space="preserve">habeas data</w:t>
      </w:r>
      <w:r w:rsidDel="00000000" w:rsidR="00000000" w:rsidRPr="00000000">
        <w:rPr>
          <w:rtl w:val="0"/>
        </w:rPr>
        <w:t xml:space="preserve">, es decir, a solicitar: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acceso a la información personal almacenada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rectificación de datos incorrectos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actualización o supresión de datos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La autoridad encargada de aplicar esta normativa es la </w:t>
      </w:r>
      <w:r w:rsidDel="00000000" w:rsidR="00000000" w:rsidRPr="00000000">
        <w:rPr>
          <w:b w:val="1"/>
          <w:bCs w:val="1"/>
          <w:rtl w:val="0"/>
        </w:rPr>
        <w:t xml:space="preserve">Agencia de Acceso a la Información Pública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sny8dyurc8i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Fallo "Halabi" (Corte Suprema de Justicia de la Nación, 2009)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El caso </w:t>
      </w:r>
      <w:r w:rsidDel="00000000" w:rsidR="00000000" w:rsidRPr="00000000">
        <w:rPr>
          <w:b w:val="1"/>
          <w:bCs w:val="1"/>
          <w:rtl w:val="0"/>
        </w:rPr>
        <w:t xml:space="preserve">"Halabi, Ernesto c/ Poder Ejecutivo Nacional"</w:t>
      </w:r>
      <w:r w:rsidDel="00000000" w:rsidR="00000000" w:rsidRPr="00000000">
        <w:rPr>
          <w:rtl w:val="0"/>
        </w:rPr>
        <w:t xml:space="preserve"> constituye uno de los fallos más importantes del constitucionalismo argentino contemporáneo.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El caso se originó a partir de la impugnación de una ley que autorizaba la </w:t>
      </w:r>
      <w:r w:rsidDel="00000000" w:rsidR="00000000" w:rsidRPr="00000000">
        <w:rPr>
          <w:b w:val="1"/>
          <w:bCs w:val="1"/>
          <w:rtl w:val="0"/>
        </w:rPr>
        <w:t xml:space="preserve">intercepción de comunicaciones telefónicas y electrónicas sin suficientes garantías judiciales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La Corte Suprema declaró la </w:t>
      </w:r>
      <w:r w:rsidDel="00000000" w:rsidR="00000000" w:rsidRPr="00000000">
        <w:rPr>
          <w:b w:val="1"/>
          <w:bCs w:val="1"/>
          <w:rtl w:val="0"/>
        </w:rPr>
        <w:t xml:space="preserve">inconstitucionalidad de la norma</w:t>
      </w:r>
      <w:r w:rsidDel="00000000" w:rsidR="00000000" w:rsidRPr="00000000">
        <w:rPr>
          <w:rtl w:val="0"/>
        </w:rPr>
        <w:t xml:space="preserve">, sosteniendo que vulneraba derechos fundamentales como: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 derecho a la privacidad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el secreto de las comunicaciones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la protección de datos personales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Además, el fallo tuvo gran relevancia porque la Corte desarrolló el concepto de </w:t>
      </w:r>
      <w:r w:rsidDel="00000000" w:rsidR="00000000" w:rsidRPr="00000000">
        <w:rPr>
          <w:b w:val="1"/>
          <w:bCs w:val="1"/>
          <w:rtl w:val="0"/>
        </w:rPr>
        <w:t xml:space="preserve">derechos de incidencia colectiva</w:t>
      </w:r>
      <w:r w:rsidDel="00000000" w:rsidR="00000000" w:rsidRPr="00000000">
        <w:rPr>
          <w:rtl w:val="0"/>
        </w:rPr>
        <w:t xml:space="preserve">, que pueden afectar simultáneamente a un grupo amplio de personas.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Este precedente es considerado fundamental en materia de </w:t>
      </w:r>
      <w:r w:rsidDel="00000000" w:rsidR="00000000" w:rsidRPr="00000000">
        <w:rPr>
          <w:b w:val="1"/>
          <w:bCs w:val="1"/>
          <w:rtl w:val="0"/>
        </w:rPr>
        <w:t xml:space="preserve">protección de la privacidad en las comunicaciones digitales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vr2ypaxagjq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Fallo "Rodríguez c/ Google" (Corte Suprema de Justicia de la Nación, 2014)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El caso </w:t>
      </w:r>
      <w:r w:rsidDel="00000000" w:rsidR="00000000" w:rsidRPr="00000000">
        <w:rPr>
          <w:b w:val="1"/>
          <w:bCs w:val="1"/>
          <w:rtl w:val="0"/>
        </w:rPr>
        <w:t xml:space="preserve">"Rodríguez, María Belén c/ Google Inc. y Yahoo de Argentina SRL"</w:t>
      </w:r>
      <w:r w:rsidDel="00000000" w:rsidR="00000000" w:rsidRPr="00000000">
        <w:rPr>
          <w:rtl w:val="0"/>
        </w:rPr>
        <w:t xml:space="preserve"> abordó la responsabilidad de los motores de búsqueda en internet respecto de los contenidos que indexan.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La actora solicitó que se eliminaran enlaces que vinculaban su nombre con sitios web de contenido sexual o pornográfico, alegando que afectaban su imagen y su honor.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La Corte Suprema sostuvo que los buscadores de internet </w:t>
      </w:r>
      <w:r w:rsidDel="00000000" w:rsidR="00000000" w:rsidRPr="00000000">
        <w:rPr>
          <w:b w:val="1"/>
          <w:bCs w:val="1"/>
          <w:rtl w:val="0"/>
        </w:rPr>
        <w:t xml:space="preserve">no son responsables automáticamente por los contenidos generados por terceros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Sin embargo, estableció que pueden ser responsables cuando: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tienen </w:t>
      </w:r>
      <w:r w:rsidDel="00000000" w:rsidR="00000000" w:rsidRPr="00000000">
        <w:rPr>
          <w:b w:val="1"/>
          <w:bCs w:val="1"/>
          <w:rtl w:val="0"/>
        </w:rPr>
        <w:t xml:space="preserve">conocimiento efectivo</w:t>
      </w:r>
      <w:r w:rsidDel="00000000" w:rsidR="00000000" w:rsidRPr="00000000">
        <w:rPr>
          <w:rtl w:val="0"/>
        </w:rPr>
        <w:t xml:space="preserve"> de la existencia de contenidos ilícitos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y </w:t>
      </w:r>
      <w:r w:rsidDel="00000000" w:rsidR="00000000" w:rsidRPr="00000000">
        <w:rPr>
          <w:b w:val="1"/>
          <w:bCs w:val="1"/>
          <w:rtl w:val="0"/>
        </w:rPr>
        <w:t xml:space="preserve">no actúan diligentemente para removerlos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Este fallo es relevante para el debate sobre el llamado </w:t>
      </w:r>
      <w:r w:rsidDel="00000000" w:rsidR="00000000" w:rsidRPr="00000000">
        <w:rPr>
          <w:b w:val="1"/>
          <w:bCs w:val="1"/>
          <w:rtl w:val="0"/>
        </w:rPr>
        <w:t xml:space="preserve">derecho al olvido digital</w:t>
      </w:r>
      <w:r w:rsidDel="00000000" w:rsidR="00000000" w:rsidRPr="00000000">
        <w:rPr>
          <w:rtl w:val="0"/>
        </w:rPr>
        <w:t xml:space="preserve">, que busca equilibrar: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 protección del honor y la privacidad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la libertad de expresión y el acceso a la información en internet.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9wvuqr0b1nl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Recursos online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Para profundizar en estos temas se pueden consultar los siguientes recursos oficiales.</w:t>
      </w:r>
    </w:p>
    <w:p w:rsidR="00000000" w:rsidDel="00000000" w:rsidP="00000000" w:rsidRDefault="00000000" w:rsidRPr="00000000" w14:paraId="0000002C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🌐 Constitución Nacional Argentina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www.argentina.gob.ar/justicia/constitucion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🌐 Fallos completos de la Corte Suprema de Justicia de la Nación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www.csjn.gov.ar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🌐 Agencia de Acceso a la Información Pública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www.argentina.gob.ar/aaip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3.8582677165355" w:top="2834.645669291339" w:left="2834.645669291339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-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</w:t>
    </w:r>
  </w:p>
  <w:p w:rsidR="00000000" w:rsidDel="00000000" w:rsidP="00000000" w:rsidRDefault="00000000" w:rsidRPr="00000000" w14:paraId="00000032">
    <w:pPr>
      <w:spacing w:line="240" w:lineRule="auto"/>
      <w:ind w:left="-1842.51968503937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LEGISLACIÓN</w:t>
    </w:r>
  </w:p>
  <w:p w:rsidR="00000000" w:rsidDel="00000000" w:rsidP="00000000" w:rsidRDefault="00000000" w:rsidRPr="00000000" w14:paraId="00000033">
    <w:pPr>
      <w:spacing w:line="240" w:lineRule="auto"/>
      <w:ind w:left="-1842.51968503937" w:firstLine="0"/>
      <w:jc w:val="center"/>
      <w:rPr/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Extensión Áulica UTN Necochea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47975" cy="923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975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4"/>
        <w:szCs w:val="24"/>
        <w:lang w:val="es_419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argentina.gob.ar/justicia/constitucion" TargetMode="External"/><Relationship Id="rId7" Type="http://schemas.openxmlformats.org/officeDocument/2006/relationships/hyperlink" Target="http://www.csjn.gov.ar/" TargetMode="External"/><Relationship Id="rId8" Type="http://schemas.openxmlformats.org/officeDocument/2006/relationships/hyperlink" Target="http://www.argentina.gob.ar/aa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