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both"/>
        <w:rPr>
          <w:b w:val="1"/>
          <w:bCs w:val="1"/>
          <w:sz w:val="46"/>
          <w:szCs w:val="46"/>
        </w:rPr>
      </w:pPr>
      <w:bookmarkStart w:colFirst="0" w:colLast="0" w:name="_ej4fbun71az1" w:id="0"/>
      <w:bookmarkEnd w:id="0"/>
      <w:r w:rsidDel="00000000" w:rsidR="00000000" w:rsidRPr="00000000">
        <w:rPr>
          <w:b w:val="1"/>
          <w:bCs w:val="1"/>
          <w:sz w:val="46"/>
          <w:szCs w:val="46"/>
          <w:rtl w:val="0"/>
        </w:rPr>
        <w:t xml:space="preserve">Anexo III – Casos reales de conflictos entre tecnología y derechos constitucionales</w:t>
      </w:r>
    </w:p>
    <w:p w:rsidR="00000000" w:rsidDel="00000000" w:rsidP="00000000" w:rsidRDefault="00000000" w:rsidRPr="00000000" w14:paraId="00000002">
      <w:pPr>
        <w:jc w:val="both"/>
        <w:rPr/>
      </w:pPr>
      <w:r w:rsidDel="00000000" w:rsidR="00000000" w:rsidRPr="00000000">
        <w:rPr>
          <w:rtl w:val="0"/>
        </w:rPr>
        <w:t xml:space="preserve">El desarrollo de internet y de las tecnologías de la información ha generado nuevos desafíos para la protección de los derechos fundamentales. En los últimos años, los tribunales han debido resolver diversos conflictos en los que se enfrentan derechos constitucionales tradicionales con fenómenos tecnológicos contemporáneos.</w:t>
      </w:r>
    </w:p>
    <w:p w:rsidR="00000000" w:rsidDel="00000000" w:rsidP="00000000" w:rsidRDefault="00000000" w:rsidRPr="00000000" w14:paraId="00000003">
      <w:pPr>
        <w:jc w:val="both"/>
        <w:rPr/>
      </w:pPr>
      <w:r w:rsidDel="00000000" w:rsidR="00000000" w:rsidRPr="00000000">
        <w:rPr>
          <w:rtl w:val="0"/>
        </w:rPr>
        <w:t xml:space="preserve">A continuación se presentan algunos casos paradigmáticos.</w:t>
      </w:r>
    </w:p>
    <w:p w:rsidR="00000000" w:rsidDel="00000000" w:rsidP="00000000" w:rsidRDefault="00000000" w:rsidRPr="00000000" w14:paraId="0000000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jc w:val="both"/>
        <w:rPr>
          <w:b w:val="1"/>
          <w:bCs w:val="1"/>
          <w:sz w:val="46"/>
          <w:szCs w:val="46"/>
        </w:rPr>
      </w:pPr>
      <w:bookmarkStart w:colFirst="0" w:colLast="0" w:name="_5a3xi7d0hm85" w:id="1"/>
      <w:bookmarkEnd w:id="1"/>
      <w:r w:rsidDel="00000000" w:rsidR="00000000" w:rsidRPr="00000000">
        <w:rPr>
          <w:b w:val="1"/>
          <w:bCs w:val="1"/>
          <w:sz w:val="46"/>
          <w:szCs w:val="46"/>
          <w:rtl w:val="0"/>
        </w:rPr>
        <w:t xml:space="preserve">1. Halabi, Ernesto c/ PEN – Ley 25.873 y decreto 1563/04</w:t>
      </w:r>
    </w:p>
    <w:p w:rsidR="00000000" w:rsidDel="00000000" w:rsidP="00000000" w:rsidRDefault="00000000" w:rsidRPr="00000000" w14:paraId="00000006">
      <w:pPr>
        <w:pStyle w:val="Heading2"/>
        <w:keepNext w:val="0"/>
        <w:keepLines w:val="0"/>
        <w:spacing w:after="80" w:lineRule="auto"/>
        <w:jc w:val="both"/>
        <w:rPr>
          <w:b w:val="1"/>
          <w:bCs w:val="1"/>
          <w:sz w:val="34"/>
          <w:szCs w:val="34"/>
        </w:rPr>
      </w:pPr>
      <w:bookmarkStart w:colFirst="0" w:colLast="0" w:name="_4xkx3c9d46sk" w:id="2"/>
      <w:bookmarkEnd w:id="2"/>
      <w:r w:rsidDel="00000000" w:rsidR="00000000" w:rsidRPr="00000000">
        <w:rPr>
          <w:b w:val="1"/>
          <w:bCs w:val="1"/>
          <w:sz w:val="34"/>
          <w:szCs w:val="34"/>
          <w:rtl w:val="0"/>
        </w:rPr>
        <w:t xml:space="preserve">Vigilancia de comunicaciones y protección de la privacidad</w:t>
      </w:r>
    </w:p>
    <w:p w:rsidR="00000000" w:rsidDel="00000000" w:rsidP="00000000" w:rsidRDefault="00000000" w:rsidRPr="00000000" w14:paraId="00000007">
      <w:pPr>
        <w:jc w:val="both"/>
        <w:rPr/>
      </w:pPr>
      <w:r w:rsidDel="00000000" w:rsidR="00000000" w:rsidRPr="00000000">
        <w:rPr>
          <w:rtl w:val="0"/>
        </w:rPr>
        <w:t xml:space="preserve">Este caso constituye uno de los precedentes más importantes del derecho constitucional argentino en materia de privacidad y protección de datos.</w:t>
      </w:r>
    </w:p>
    <w:p w:rsidR="00000000" w:rsidDel="00000000" w:rsidP="00000000" w:rsidRDefault="00000000" w:rsidRPr="00000000" w14:paraId="00000008">
      <w:pPr>
        <w:pStyle w:val="Heading3"/>
        <w:keepNext w:val="0"/>
        <w:keepLines w:val="0"/>
        <w:spacing w:before="280" w:lineRule="auto"/>
        <w:jc w:val="both"/>
        <w:rPr>
          <w:b w:val="1"/>
          <w:bCs w:val="1"/>
          <w:color w:val="000000"/>
          <w:sz w:val="26"/>
          <w:szCs w:val="26"/>
        </w:rPr>
      </w:pPr>
      <w:bookmarkStart w:colFirst="0" w:colLast="0" w:name="_8ff8njofgkoe" w:id="3"/>
      <w:bookmarkEnd w:id="3"/>
      <w:r w:rsidDel="00000000" w:rsidR="00000000" w:rsidRPr="00000000">
        <w:rPr>
          <w:b w:val="1"/>
          <w:bCs w:val="1"/>
          <w:color w:val="000000"/>
          <w:sz w:val="26"/>
          <w:szCs w:val="26"/>
          <w:rtl w:val="0"/>
        </w:rPr>
        <w:t xml:space="preserve">Contexto</w:t>
      </w:r>
    </w:p>
    <w:p w:rsidR="00000000" w:rsidDel="00000000" w:rsidP="00000000" w:rsidRDefault="00000000" w:rsidRPr="00000000" w14:paraId="00000009">
      <w:pPr>
        <w:jc w:val="both"/>
        <w:rPr/>
      </w:pPr>
      <w:r w:rsidDel="00000000" w:rsidR="00000000" w:rsidRPr="00000000">
        <w:rPr>
          <w:rtl w:val="0"/>
        </w:rPr>
        <w:t xml:space="preserve">La normativa cuestionada permitía la </w:t>
      </w:r>
      <w:r w:rsidDel="00000000" w:rsidR="00000000" w:rsidRPr="00000000">
        <w:rPr>
          <w:b w:val="1"/>
          <w:bCs w:val="1"/>
          <w:rtl w:val="0"/>
        </w:rPr>
        <w:t xml:space="preserve">intervención y almacenamiento de comunicaciones telefónicas y electrónicas</w:t>
      </w:r>
      <w:r w:rsidDel="00000000" w:rsidR="00000000" w:rsidRPr="00000000">
        <w:rPr>
          <w:rtl w:val="0"/>
        </w:rPr>
        <w:t xml:space="preserve"> por parte del Estado con fines de seguridad.</w:t>
      </w:r>
    </w:p>
    <w:p w:rsidR="00000000" w:rsidDel="00000000" w:rsidP="00000000" w:rsidRDefault="00000000" w:rsidRPr="00000000" w14:paraId="0000000A">
      <w:pPr>
        <w:jc w:val="both"/>
        <w:rPr/>
      </w:pPr>
      <w:r w:rsidDel="00000000" w:rsidR="00000000" w:rsidRPr="00000000">
        <w:rPr>
          <w:rtl w:val="0"/>
        </w:rPr>
        <w:t xml:space="preserve">El abogado </w:t>
      </w:r>
      <w:r w:rsidDel="00000000" w:rsidR="00000000" w:rsidRPr="00000000">
        <w:rPr>
          <w:b w:val="1"/>
          <w:bCs w:val="1"/>
          <w:rtl w:val="0"/>
        </w:rPr>
        <w:t xml:space="preserve">Ernesto Halabi</w:t>
      </w:r>
      <w:r w:rsidDel="00000000" w:rsidR="00000000" w:rsidRPr="00000000">
        <w:rPr>
          <w:rtl w:val="0"/>
        </w:rPr>
        <w:t xml:space="preserve"> promovió una acción judicial argumentando que esa normativa violaba derechos constitucionales vinculados con:</w:t>
      </w:r>
    </w:p>
    <w:p w:rsidR="00000000" w:rsidDel="00000000" w:rsidP="00000000" w:rsidRDefault="00000000" w:rsidRPr="00000000" w14:paraId="0000000B">
      <w:pPr>
        <w:numPr>
          <w:ilvl w:val="0"/>
          <w:numId w:val="11"/>
        </w:numPr>
        <w:spacing w:after="0" w:afterAutospacing="0"/>
        <w:ind w:left="720" w:hanging="360"/>
        <w:jc w:val="both"/>
      </w:pPr>
      <w:r w:rsidDel="00000000" w:rsidR="00000000" w:rsidRPr="00000000">
        <w:rPr>
          <w:rtl w:val="0"/>
        </w:rPr>
        <w:t xml:space="preserve">privacidad</w:t>
      </w:r>
    </w:p>
    <w:p w:rsidR="00000000" w:rsidDel="00000000" w:rsidP="00000000" w:rsidRDefault="00000000" w:rsidRPr="00000000" w14:paraId="0000000C">
      <w:pPr>
        <w:numPr>
          <w:ilvl w:val="0"/>
          <w:numId w:val="11"/>
        </w:numPr>
        <w:spacing w:after="0" w:afterAutospacing="0" w:before="0" w:beforeAutospacing="0"/>
        <w:ind w:left="720" w:hanging="360"/>
        <w:jc w:val="both"/>
      </w:pPr>
      <w:r w:rsidDel="00000000" w:rsidR="00000000" w:rsidRPr="00000000">
        <w:rPr>
          <w:rtl w:val="0"/>
        </w:rPr>
        <w:t xml:space="preserve">secreto de las comunicaciones</w:t>
      </w:r>
    </w:p>
    <w:p w:rsidR="00000000" w:rsidDel="00000000" w:rsidP="00000000" w:rsidRDefault="00000000" w:rsidRPr="00000000" w14:paraId="0000000D">
      <w:pPr>
        <w:numPr>
          <w:ilvl w:val="0"/>
          <w:numId w:val="11"/>
        </w:numPr>
        <w:spacing w:before="0" w:beforeAutospacing="0"/>
        <w:ind w:left="720" w:hanging="360"/>
        <w:jc w:val="both"/>
      </w:pPr>
      <w:r w:rsidDel="00000000" w:rsidR="00000000" w:rsidRPr="00000000">
        <w:rPr>
          <w:rtl w:val="0"/>
        </w:rPr>
        <w:t xml:space="preserve">libertad individual</w:t>
      </w:r>
    </w:p>
    <w:p w:rsidR="00000000" w:rsidDel="00000000" w:rsidP="00000000" w:rsidRDefault="00000000" w:rsidRPr="00000000" w14:paraId="0000000E">
      <w:pPr>
        <w:pStyle w:val="Heading3"/>
        <w:keepNext w:val="0"/>
        <w:keepLines w:val="0"/>
        <w:spacing w:before="280" w:lineRule="auto"/>
        <w:jc w:val="both"/>
        <w:rPr>
          <w:b w:val="1"/>
          <w:bCs w:val="1"/>
          <w:color w:val="000000"/>
          <w:sz w:val="26"/>
          <w:szCs w:val="26"/>
        </w:rPr>
      </w:pPr>
      <w:bookmarkStart w:colFirst="0" w:colLast="0" w:name="_ntdyq4k1f6g2" w:id="4"/>
      <w:bookmarkEnd w:id="4"/>
      <w:r w:rsidDel="00000000" w:rsidR="00000000" w:rsidRPr="00000000">
        <w:rPr>
          <w:b w:val="1"/>
          <w:bCs w:val="1"/>
          <w:color w:val="000000"/>
          <w:sz w:val="26"/>
          <w:szCs w:val="26"/>
          <w:rtl w:val="0"/>
        </w:rPr>
        <w:t xml:space="preserve">Decisión de la Corte</w:t>
      </w:r>
    </w:p>
    <w:p w:rsidR="00000000" w:rsidDel="00000000" w:rsidP="00000000" w:rsidRDefault="00000000" w:rsidRPr="00000000" w14:paraId="0000000F">
      <w:pPr>
        <w:jc w:val="both"/>
        <w:rPr/>
      </w:pPr>
      <w:r w:rsidDel="00000000" w:rsidR="00000000" w:rsidRPr="00000000">
        <w:rPr>
          <w:rtl w:val="0"/>
        </w:rPr>
        <w:t xml:space="preserve">La </w:t>
      </w:r>
      <w:r w:rsidDel="00000000" w:rsidR="00000000" w:rsidRPr="00000000">
        <w:rPr>
          <w:b w:val="1"/>
          <w:bCs w:val="1"/>
          <w:rtl w:val="0"/>
        </w:rPr>
        <w:t xml:space="preserve">Corte Suprema de Justicia de la Nación</w:t>
      </w:r>
      <w:r w:rsidDel="00000000" w:rsidR="00000000" w:rsidRPr="00000000">
        <w:rPr>
          <w:rtl w:val="0"/>
        </w:rPr>
        <w:t xml:space="preserve"> declaró la inconstitucionalidad del sistema de vigilancia generalizada.</w:t>
      </w:r>
    </w:p>
    <w:p w:rsidR="00000000" w:rsidDel="00000000" w:rsidP="00000000" w:rsidRDefault="00000000" w:rsidRPr="00000000" w14:paraId="00000010">
      <w:pPr>
        <w:jc w:val="both"/>
        <w:rPr/>
      </w:pPr>
      <w:r w:rsidDel="00000000" w:rsidR="00000000" w:rsidRPr="00000000">
        <w:rPr>
          <w:rtl w:val="0"/>
        </w:rPr>
        <w:t xml:space="preserve">La Corte sostuvo que:</w:t>
      </w:r>
    </w:p>
    <w:p w:rsidR="00000000" w:rsidDel="00000000" w:rsidP="00000000" w:rsidRDefault="00000000" w:rsidRPr="00000000" w14:paraId="00000011">
      <w:pPr>
        <w:numPr>
          <w:ilvl w:val="0"/>
          <w:numId w:val="4"/>
        </w:numPr>
        <w:spacing w:after="0" w:afterAutospacing="0"/>
        <w:ind w:left="720" w:hanging="360"/>
        <w:jc w:val="both"/>
      </w:pPr>
      <w:r w:rsidDel="00000000" w:rsidR="00000000" w:rsidRPr="00000000">
        <w:rPr>
          <w:rtl w:val="0"/>
        </w:rPr>
        <w:t xml:space="preserve">el Estado no puede realizar </w:t>
      </w:r>
      <w:r w:rsidDel="00000000" w:rsidR="00000000" w:rsidRPr="00000000">
        <w:rPr>
          <w:b w:val="1"/>
          <w:bCs w:val="1"/>
          <w:rtl w:val="0"/>
        </w:rPr>
        <w:t xml:space="preserve">intervenciones masivas de comunicaciones sin control judicial</w:t>
      </w:r>
    </w:p>
    <w:p w:rsidR="00000000" w:rsidDel="00000000" w:rsidP="00000000" w:rsidRDefault="00000000" w:rsidRPr="00000000" w14:paraId="00000012">
      <w:pPr>
        <w:numPr>
          <w:ilvl w:val="0"/>
          <w:numId w:val="4"/>
        </w:numPr>
        <w:spacing w:before="0" w:beforeAutospacing="0"/>
        <w:ind w:left="720" w:hanging="360"/>
        <w:jc w:val="both"/>
      </w:pPr>
      <w:r w:rsidDel="00000000" w:rsidR="00000000" w:rsidRPr="00000000">
        <w:rPr>
          <w:rtl w:val="0"/>
        </w:rPr>
        <w:t xml:space="preserve">las garantías constitucionales deben aplicarse también a </w:t>
      </w:r>
      <w:r w:rsidDel="00000000" w:rsidR="00000000" w:rsidRPr="00000000">
        <w:rPr>
          <w:b w:val="1"/>
          <w:bCs w:val="1"/>
          <w:rtl w:val="0"/>
        </w:rPr>
        <w:t xml:space="preserve">las comunicaciones digitales</w:t>
      </w:r>
    </w:p>
    <w:p w:rsidR="00000000" w:rsidDel="00000000" w:rsidP="00000000" w:rsidRDefault="00000000" w:rsidRPr="00000000" w14:paraId="00000013">
      <w:pPr>
        <w:pStyle w:val="Heading3"/>
        <w:keepNext w:val="0"/>
        <w:keepLines w:val="0"/>
        <w:spacing w:before="280" w:lineRule="auto"/>
        <w:jc w:val="both"/>
        <w:rPr>
          <w:b w:val="1"/>
          <w:bCs w:val="1"/>
          <w:color w:val="000000"/>
          <w:sz w:val="26"/>
          <w:szCs w:val="26"/>
        </w:rPr>
      </w:pPr>
      <w:bookmarkStart w:colFirst="0" w:colLast="0" w:name="_iw5sdtcjvqdw" w:id="5"/>
      <w:bookmarkEnd w:id="5"/>
      <w:r w:rsidDel="00000000" w:rsidR="00000000" w:rsidRPr="00000000">
        <w:rPr>
          <w:b w:val="1"/>
          <w:bCs w:val="1"/>
          <w:color w:val="000000"/>
          <w:sz w:val="26"/>
          <w:szCs w:val="26"/>
          <w:rtl w:val="0"/>
        </w:rPr>
        <w:t xml:space="preserve">Importancia del fallo</w:t>
      </w:r>
    </w:p>
    <w:p w:rsidR="00000000" w:rsidDel="00000000" w:rsidP="00000000" w:rsidRDefault="00000000" w:rsidRPr="00000000" w14:paraId="00000014">
      <w:pPr>
        <w:jc w:val="both"/>
        <w:rPr/>
      </w:pPr>
      <w:r w:rsidDel="00000000" w:rsidR="00000000" w:rsidRPr="00000000">
        <w:rPr>
          <w:rtl w:val="0"/>
        </w:rPr>
        <w:t xml:space="preserve">Este caso es considerado fundamental porque:</w:t>
      </w:r>
    </w:p>
    <w:p w:rsidR="00000000" w:rsidDel="00000000" w:rsidP="00000000" w:rsidRDefault="00000000" w:rsidRPr="00000000" w14:paraId="00000015">
      <w:pPr>
        <w:numPr>
          <w:ilvl w:val="0"/>
          <w:numId w:val="13"/>
        </w:numPr>
        <w:spacing w:after="0" w:afterAutospacing="0"/>
        <w:ind w:left="720" w:hanging="360"/>
        <w:jc w:val="both"/>
      </w:pPr>
      <w:r w:rsidDel="00000000" w:rsidR="00000000" w:rsidRPr="00000000">
        <w:rPr>
          <w:rtl w:val="0"/>
        </w:rPr>
        <w:t xml:space="preserve">consolidó la protección de la privacidad en el ámbito digital</w:t>
      </w:r>
    </w:p>
    <w:p w:rsidR="00000000" w:rsidDel="00000000" w:rsidP="00000000" w:rsidRDefault="00000000" w:rsidRPr="00000000" w14:paraId="00000016">
      <w:pPr>
        <w:numPr>
          <w:ilvl w:val="0"/>
          <w:numId w:val="13"/>
        </w:numPr>
        <w:spacing w:after="0" w:afterAutospacing="0" w:before="0" w:beforeAutospacing="0"/>
        <w:ind w:left="720" w:hanging="360"/>
        <w:jc w:val="both"/>
      </w:pPr>
      <w:r w:rsidDel="00000000" w:rsidR="00000000" w:rsidRPr="00000000">
        <w:rPr>
          <w:rtl w:val="0"/>
        </w:rPr>
        <w:t xml:space="preserve">reconoció la posibilidad de </w:t>
      </w:r>
      <w:r w:rsidDel="00000000" w:rsidR="00000000" w:rsidRPr="00000000">
        <w:rPr>
          <w:b w:val="1"/>
          <w:bCs w:val="1"/>
          <w:rtl w:val="0"/>
        </w:rPr>
        <w:t xml:space="preserve">acciones colectivas para proteger derechos individuales homogéneos</w:t>
      </w:r>
    </w:p>
    <w:p w:rsidR="00000000" w:rsidDel="00000000" w:rsidP="00000000" w:rsidRDefault="00000000" w:rsidRPr="00000000" w14:paraId="00000017">
      <w:pPr>
        <w:numPr>
          <w:ilvl w:val="0"/>
          <w:numId w:val="13"/>
        </w:numPr>
        <w:spacing w:before="0" w:beforeAutospacing="0"/>
        <w:ind w:left="720" w:hanging="360"/>
        <w:jc w:val="both"/>
      </w:pPr>
      <w:r w:rsidDel="00000000" w:rsidR="00000000" w:rsidRPr="00000000">
        <w:rPr>
          <w:rtl w:val="0"/>
        </w:rPr>
        <w:t xml:space="preserve">limitó el poder estatal en materia de vigilancia de comunicaciones</w:t>
      </w:r>
    </w:p>
    <w:p w:rsidR="00000000" w:rsidDel="00000000" w:rsidP="00000000" w:rsidRDefault="00000000" w:rsidRPr="00000000" w14:paraId="0000001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1"/>
        <w:keepNext w:val="0"/>
        <w:keepLines w:val="0"/>
        <w:spacing w:before="480" w:lineRule="auto"/>
        <w:jc w:val="both"/>
        <w:rPr>
          <w:b w:val="1"/>
          <w:bCs w:val="1"/>
          <w:sz w:val="46"/>
          <w:szCs w:val="46"/>
        </w:rPr>
      </w:pPr>
      <w:bookmarkStart w:colFirst="0" w:colLast="0" w:name="_mahq5le33zg5" w:id="6"/>
      <w:bookmarkEnd w:id="6"/>
      <w:r w:rsidDel="00000000" w:rsidR="00000000" w:rsidRPr="00000000">
        <w:rPr>
          <w:b w:val="1"/>
          <w:bCs w:val="1"/>
          <w:sz w:val="46"/>
          <w:szCs w:val="46"/>
          <w:rtl w:val="0"/>
        </w:rPr>
        <w:t xml:space="preserve">2. Rodríguez, María Belén c/ Google Inc.</w:t>
      </w:r>
    </w:p>
    <w:p w:rsidR="00000000" w:rsidDel="00000000" w:rsidP="00000000" w:rsidRDefault="00000000" w:rsidRPr="00000000" w14:paraId="0000001A">
      <w:pPr>
        <w:pStyle w:val="Heading2"/>
        <w:keepNext w:val="0"/>
        <w:keepLines w:val="0"/>
        <w:spacing w:after="80" w:lineRule="auto"/>
        <w:jc w:val="both"/>
        <w:rPr>
          <w:b w:val="1"/>
          <w:bCs w:val="1"/>
          <w:sz w:val="34"/>
          <w:szCs w:val="34"/>
        </w:rPr>
      </w:pPr>
      <w:bookmarkStart w:colFirst="0" w:colLast="0" w:name="_pzcvpapadhkk" w:id="7"/>
      <w:bookmarkEnd w:id="7"/>
      <w:r w:rsidDel="00000000" w:rsidR="00000000" w:rsidRPr="00000000">
        <w:rPr>
          <w:b w:val="1"/>
          <w:bCs w:val="1"/>
          <w:sz w:val="34"/>
          <w:szCs w:val="34"/>
          <w:rtl w:val="0"/>
        </w:rPr>
        <w:t xml:space="preserve">Responsabilidad de los buscadores de internet</w:t>
      </w:r>
    </w:p>
    <w:p w:rsidR="00000000" w:rsidDel="00000000" w:rsidP="00000000" w:rsidRDefault="00000000" w:rsidRPr="00000000" w14:paraId="0000001B">
      <w:pPr>
        <w:jc w:val="both"/>
        <w:rPr/>
      </w:pPr>
      <w:r w:rsidDel="00000000" w:rsidR="00000000" w:rsidRPr="00000000">
        <w:rPr>
          <w:rtl w:val="0"/>
        </w:rPr>
        <w:t xml:space="preserve">Este caso abordó el problema de la responsabilidad de los motores de búsqueda por contenidos publicados en internet.</w:t>
      </w:r>
    </w:p>
    <w:p w:rsidR="00000000" w:rsidDel="00000000" w:rsidP="00000000" w:rsidRDefault="00000000" w:rsidRPr="00000000" w14:paraId="0000001C">
      <w:pPr>
        <w:pStyle w:val="Heading3"/>
        <w:keepNext w:val="0"/>
        <w:keepLines w:val="0"/>
        <w:spacing w:before="280" w:lineRule="auto"/>
        <w:jc w:val="both"/>
        <w:rPr>
          <w:b w:val="1"/>
          <w:bCs w:val="1"/>
          <w:color w:val="000000"/>
          <w:sz w:val="26"/>
          <w:szCs w:val="26"/>
        </w:rPr>
      </w:pPr>
      <w:bookmarkStart w:colFirst="0" w:colLast="0" w:name="_95ipiqsw4g52" w:id="8"/>
      <w:bookmarkEnd w:id="8"/>
      <w:r w:rsidDel="00000000" w:rsidR="00000000" w:rsidRPr="00000000">
        <w:rPr>
          <w:b w:val="1"/>
          <w:bCs w:val="1"/>
          <w:color w:val="000000"/>
          <w:sz w:val="26"/>
          <w:szCs w:val="26"/>
          <w:rtl w:val="0"/>
        </w:rPr>
        <w:t xml:space="preserve">Contexto</w:t>
      </w:r>
    </w:p>
    <w:p w:rsidR="00000000" w:rsidDel="00000000" w:rsidP="00000000" w:rsidRDefault="00000000" w:rsidRPr="00000000" w14:paraId="0000001D">
      <w:pPr>
        <w:jc w:val="both"/>
        <w:rPr/>
      </w:pPr>
      <w:r w:rsidDel="00000000" w:rsidR="00000000" w:rsidRPr="00000000">
        <w:rPr>
          <w:rtl w:val="0"/>
        </w:rPr>
        <w:t xml:space="preserve">La modelo </w:t>
      </w:r>
      <w:r w:rsidDel="00000000" w:rsidR="00000000" w:rsidRPr="00000000">
        <w:rPr>
          <w:b w:val="1"/>
          <w:bCs w:val="1"/>
          <w:rtl w:val="0"/>
        </w:rPr>
        <w:t xml:space="preserve">María Belén Rodríguez</w:t>
      </w:r>
      <w:r w:rsidDel="00000000" w:rsidR="00000000" w:rsidRPr="00000000">
        <w:rPr>
          <w:rtl w:val="0"/>
        </w:rPr>
        <w:t xml:space="preserve"> inició acciones judiciales contra empresas tecnológicas alegando que su nombre aparecía vinculado en internet con sitios de contenido pornográfico.</w:t>
      </w:r>
    </w:p>
    <w:p w:rsidR="00000000" w:rsidDel="00000000" w:rsidP="00000000" w:rsidRDefault="00000000" w:rsidRPr="00000000" w14:paraId="0000001E">
      <w:pPr>
        <w:jc w:val="both"/>
        <w:rPr/>
      </w:pPr>
      <w:r w:rsidDel="00000000" w:rsidR="00000000" w:rsidRPr="00000000">
        <w:rPr>
          <w:rtl w:val="0"/>
        </w:rPr>
        <w:t xml:space="preserve">Demandó a los buscadores:</w:t>
      </w:r>
    </w:p>
    <w:p w:rsidR="00000000" w:rsidDel="00000000" w:rsidP="00000000" w:rsidRDefault="00000000" w:rsidRPr="00000000" w14:paraId="0000001F">
      <w:pPr>
        <w:numPr>
          <w:ilvl w:val="0"/>
          <w:numId w:val="10"/>
        </w:numPr>
        <w:spacing w:after="0" w:afterAutospacing="0"/>
        <w:ind w:left="720" w:hanging="360"/>
        <w:jc w:val="both"/>
      </w:pPr>
      <w:r w:rsidDel="00000000" w:rsidR="00000000" w:rsidRPr="00000000">
        <w:rPr>
          <w:rtl w:val="0"/>
        </w:rPr>
        <w:t xml:space="preserve">Google</w:t>
      </w:r>
    </w:p>
    <w:p w:rsidR="00000000" w:rsidDel="00000000" w:rsidP="00000000" w:rsidRDefault="00000000" w:rsidRPr="00000000" w14:paraId="00000020">
      <w:pPr>
        <w:numPr>
          <w:ilvl w:val="0"/>
          <w:numId w:val="10"/>
        </w:numPr>
        <w:spacing w:before="0" w:beforeAutospacing="0"/>
        <w:ind w:left="720" w:hanging="360"/>
        <w:jc w:val="both"/>
      </w:pPr>
      <w:r w:rsidDel="00000000" w:rsidR="00000000" w:rsidRPr="00000000">
        <w:rPr>
          <w:rtl w:val="0"/>
        </w:rPr>
        <w:t xml:space="preserve">Yahoo!</w:t>
      </w:r>
    </w:p>
    <w:p w:rsidR="00000000" w:rsidDel="00000000" w:rsidP="00000000" w:rsidRDefault="00000000" w:rsidRPr="00000000" w14:paraId="00000021">
      <w:pPr>
        <w:jc w:val="both"/>
        <w:rPr/>
      </w:pPr>
      <w:r w:rsidDel="00000000" w:rsidR="00000000" w:rsidRPr="00000000">
        <w:rPr>
          <w:rtl w:val="0"/>
        </w:rPr>
        <w:t xml:space="preserve">sosteniendo que esa vinculación afectaba su </w:t>
      </w:r>
      <w:r w:rsidDel="00000000" w:rsidR="00000000" w:rsidRPr="00000000">
        <w:rPr>
          <w:b w:val="1"/>
          <w:bCs w:val="1"/>
          <w:rtl w:val="0"/>
        </w:rPr>
        <w:t xml:space="preserve">derecho al honor y a la imagen</w:t>
      </w:r>
      <w:r w:rsidDel="00000000" w:rsidR="00000000" w:rsidRPr="00000000">
        <w:rPr>
          <w:rtl w:val="0"/>
        </w:rPr>
        <w:t xml:space="preserve">.</w:t>
      </w:r>
    </w:p>
    <w:p w:rsidR="00000000" w:rsidDel="00000000" w:rsidP="00000000" w:rsidRDefault="00000000" w:rsidRPr="00000000" w14:paraId="00000022">
      <w:pPr>
        <w:pStyle w:val="Heading3"/>
        <w:keepNext w:val="0"/>
        <w:keepLines w:val="0"/>
        <w:spacing w:before="280" w:lineRule="auto"/>
        <w:jc w:val="both"/>
        <w:rPr>
          <w:b w:val="1"/>
          <w:bCs w:val="1"/>
          <w:color w:val="000000"/>
          <w:sz w:val="26"/>
          <w:szCs w:val="26"/>
        </w:rPr>
      </w:pPr>
      <w:bookmarkStart w:colFirst="0" w:colLast="0" w:name="_d7dxmi7ej30n" w:id="9"/>
      <w:bookmarkEnd w:id="9"/>
      <w:r w:rsidDel="00000000" w:rsidR="00000000" w:rsidRPr="00000000">
        <w:rPr>
          <w:b w:val="1"/>
          <w:bCs w:val="1"/>
          <w:color w:val="000000"/>
          <w:sz w:val="26"/>
          <w:szCs w:val="26"/>
          <w:rtl w:val="0"/>
        </w:rPr>
        <w:t xml:space="preserve">Decisión de la Corte</w:t>
      </w:r>
    </w:p>
    <w:p w:rsidR="00000000" w:rsidDel="00000000" w:rsidP="00000000" w:rsidRDefault="00000000" w:rsidRPr="00000000" w14:paraId="00000023">
      <w:pPr>
        <w:jc w:val="both"/>
        <w:rPr/>
      </w:pPr>
      <w:r w:rsidDel="00000000" w:rsidR="00000000" w:rsidRPr="00000000">
        <w:rPr>
          <w:rtl w:val="0"/>
        </w:rPr>
        <w:t xml:space="preserve">La Corte Suprema estableció que los buscadores </w:t>
      </w:r>
      <w:r w:rsidDel="00000000" w:rsidR="00000000" w:rsidRPr="00000000">
        <w:rPr>
          <w:b w:val="1"/>
          <w:bCs w:val="1"/>
          <w:rtl w:val="0"/>
        </w:rPr>
        <w:t xml:space="preserve">no son responsables automáticamente por los contenidos publicados por terceros</w:t>
      </w:r>
      <w:r w:rsidDel="00000000" w:rsidR="00000000" w:rsidRPr="00000000">
        <w:rPr>
          <w:rtl w:val="0"/>
        </w:rPr>
        <w:t xml:space="preserve">.</w:t>
      </w:r>
    </w:p>
    <w:p w:rsidR="00000000" w:rsidDel="00000000" w:rsidP="00000000" w:rsidRDefault="00000000" w:rsidRPr="00000000" w14:paraId="00000024">
      <w:pPr>
        <w:jc w:val="both"/>
        <w:rPr/>
      </w:pPr>
      <w:r w:rsidDel="00000000" w:rsidR="00000000" w:rsidRPr="00000000">
        <w:rPr>
          <w:rtl w:val="0"/>
        </w:rPr>
        <w:t xml:space="preserve">Sin embargo, sí pueden ser responsables cuando:</w:t>
      </w:r>
    </w:p>
    <w:p w:rsidR="00000000" w:rsidDel="00000000" w:rsidP="00000000" w:rsidRDefault="00000000" w:rsidRPr="00000000" w14:paraId="00000025">
      <w:pPr>
        <w:numPr>
          <w:ilvl w:val="0"/>
          <w:numId w:val="9"/>
        </w:numPr>
        <w:spacing w:after="0" w:afterAutospacing="0"/>
        <w:ind w:left="720" w:hanging="360"/>
        <w:jc w:val="both"/>
      </w:pPr>
      <w:r w:rsidDel="00000000" w:rsidR="00000000" w:rsidRPr="00000000">
        <w:rPr>
          <w:rtl w:val="0"/>
        </w:rPr>
        <w:t xml:space="preserve">tienen conocimiento efectivo de la ilegalidad del contenido</w:t>
      </w:r>
    </w:p>
    <w:p w:rsidR="00000000" w:rsidDel="00000000" w:rsidP="00000000" w:rsidRDefault="00000000" w:rsidRPr="00000000" w14:paraId="00000026">
      <w:pPr>
        <w:numPr>
          <w:ilvl w:val="0"/>
          <w:numId w:val="9"/>
        </w:numPr>
        <w:spacing w:before="0" w:beforeAutospacing="0"/>
        <w:ind w:left="720" w:hanging="360"/>
        <w:jc w:val="both"/>
      </w:pPr>
      <w:r w:rsidDel="00000000" w:rsidR="00000000" w:rsidRPr="00000000">
        <w:rPr>
          <w:rtl w:val="0"/>
        </w:rPr>
        <w:t xml:space="preserve">no adoptan medidas razonables para removerlo</w:t>
      </w:r>
    </w:p>
    <w:p w:rsidR="00000000" w:rsidDel="00000000" w:rsidP="00000000" w:rsidRDefault="00000000" w:rsidRPr="00000000" w14:paraId="00000027">
      <w:pPr>
        <w:pStyle w:val="Heading3"/>
        <w:keepNext w:val="0"/>
        <w:keepLines w:val="0"/>
        <w:spacing w:before="280" w:lineRule="auto"/>
        <w:jc w:val="both"/>
        <w:rPr>
          <w:b w:val="1"/>
          <w:bCs w:val="1"/>
          <w:color w:val="000000"/>
          <w:sz w:val="26"/>
          <w:szCs w:val="26"/>
        </w:rPr>
      </w:pPr>
      <w:bookmarkStart w:colFirst="0" w:colLast="0" w:name="_24286qniaafz" w:id="10"/>
      <w:bookmarkEnd w:id="10"/>
      <w:r w:rsidDel="00000000" w:rsidR="00000000" w:rsidRPr="00000000">
        <w:rPr>
          <w:b w:val="1"/>
          <w:bCs w:val="1"/>
          <w:color w:val="000000"/>
          <w:sz w:val="26"/>
          <w:szCs w:val="26"/>
          <w:rtl w:val="0"/>
        </w:rPr>
        <w:t xml:space="preserve">Importancia del fallo</w:t>
      </w:r>
    </w:p>
    <w:p w:rsidR="00000000" w:rsidDel="00000000" w:rsidP="00000000" w:rsidRDefault="00000000" w:rsidRPr="00000000" w14:paraId="00000028">
      <w:pPr>
        <w:jc w:val="both"/>
        <w:rPr/>
      </w:pPr>
      <w:r w:rsidDel="00000000" w:rsidR="00000000" w:rsidRPr="00000000">
        <w:rPr>
          <w:rtl w:val="0"/>
        </w:rPr>
        <w:t xml:space="preserve">Este caso fue clave para definir en Argentina:</w:t>
      </w:r>
    </w:p>
    <w:p w:rsidR="00000000" w:rsidDel="00000000" w:rsidP="00000000" w:rsidRDefault="00000000" w:rsidRPr="00000000" w14:paraId="00000029">
      <w:pPr>
        <w:numPr>
          <w:ilvl w:val="0"/>
          <w:numId w:val="2"/>
        </w:numPr>
        <w:spacing w:after="0" w:afterAutospacing="0"/>
        <w:ind w:left="720" w:hanging="360"/>
        <w:jc w:val="both"/>
      </w:pPr>
      <w:r w:rsidDel="00000000" w:rsidR="00000000" w:rsidRPr="00000000">
        <w:rPr>
          <w:rtl w:val="0"/>
        </w:rPr>
        <w:t xml:space="preserve">el equilibrio entre </w:t>
      </w:r>
      <w:r w:rsidDel="00000000" w:rsidR="00000000" w:rsidRPr="00000000">
        <w:rPr>
          <w:b w:val="1"/>
          <w:bCs w:val="1"/>
          <w:rtl w:val="0"/>
        </w:rPr>
        <w:t xml:space="preserve">libertad de expresión en internet</w:t>
      </w:r>
    </w:p>
    <w:p w:rsidR="00000000" w:rsidDel="00000000" w:rsidP="00000000" w:rsidRDefault="00000000" w:rsidRPr="00000000" w14:paraId="0000002A">
      <w:pPr>
        <w:numPr>
          <w:ilvl w:val="0"/>
          <w:numId w:val="2"/>
        </w:numPr>
        <w:spacing w:before="0" w:beforeAutospacing="0"/>
        <w:ind w:left="720" w:hanging="360"/>
        <w:jc w:val="both"/>
      </w:pPr>
      <w:r w:rsidDel="00000000" w:rsidR="00000000" w:rsidRPr="00000000">
        <w:rPr>
          <w:rtl w:val="0"/>
        </w:rPr>
        <w:t xml:space="preserve">la </w:t>
      </w:r>
      <w:r w:rsidDel="00000000" w:rsidR="00000000" w:rsidRPr="00000000">
        <w:rPr>
          <w:b w:val="1"/>
          <w:bCs w:val="1"/>
          <w:rtl w:val="0"/>
        </w:rPr>
        <w:t xml:space="preserve">protección del honor y la reputación</w:t>
      </w:r>
    </w:p>
    <w:p w:rsidR="00000000" w:rsidDel="00000000" w:rsidP="00000000" w:rsidRDefault="00000000" w:rsidRPr="00000000" w14:paraId="0000002B">
      <w:pPr>
        <w:jc w:val="both"/>
        <w:rPr/>
      </w:pPr>
      <w:r w:rsidDel="00000000" w:rsidR="00000000" w:rsidRPr="00000000">
        <w:rPr>
          <w:rtl w:val="0"/>
        </w:rPr>
        <w:t xml:space="preserve">Además, fijó criterios sobre la </w:t>
      </w:r>
      <w:r w:rsidDel="00000000" w:rsidR="00000000" w:rsidRPr="00000000">
        <w:rPr>
          <w:b w:val="1"/>
          <w:bCs w:val="1"/>
          <w:rtl w:val="0"/>
        </w:rPr>
        <w:t xml:space="preserve">responsabilidad de intermediarios en internet</w:t>
      </w:r>
      <w:r w:rsidDel="00000000" w:rsidR="00000000" w:rsidRPr="00000000">
        <w:rPr>
          <w:rtl w:val="0"/>
        </w:rPr>
        <w:t xml:space="preserve">.</w:t>
      </w:r>
    </w:p>
    <w:p w:rsidR="00000000" w:rsidDel="00000000" w:rsidP="00000000" w:rsidRDefault="00000000" w:rsidRPr="00000000" w14:paraId="0000002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1"/>
        <w:keepNext w:val="0"/>
        <w:keepLines w:val="0"/>
        <w:spacing w:before="480" w:lineRule="auto"/>
        <w:jc w:val="both"/>
        <w:rPr>
          <w:b w:val="1"/>
          <w:bCs w:val="1"/>
          <w:sz w:val="46"/>
          <w:szCs w:val="46"/>
        </w:rPr>
      </w:pPr>
      <w:bookmarkStart w:colFirst="0" w:colLast="0" w:name="_ol7hv7gkbg" w:id="11"/>
      <w:bookmarkEnd w:id="11"/>
      <w:r w:rsidDel="00000000" w:rsidR="00000000" w:rsidRPr="00000000">
        <w:rPr>
          <w:b w:val="1"/>
          <w:bCs w:val="1"/>
          <w:sz w:val="46"/>
          <w:szCs w:val="46"/>
          <w:rtl w:val="0"/>
        </w:rPr>
        <w:t xml:space="preserve">3. Protección de datos personales en bases digitales</w:t>
      </w:r>
    </w:p>
    <w:p w:rsidR="00000000" w:rsidDel="00000000" w:rsidP="00000000" w:rsidRDefault="00000000" w:rsidRPr="00000000" w14:paraId="0000002E">
      <w:pPr>
        <w:jc w:val="both"/>
        <w:rPr/>
      </w:pPr>
      <w:r w:rsidDel="00000000" w:rsidR="00000000" w:rsidRPr="00000000">
        <w:rPr>
          <w:rtl w:val="0"/>
        </w:rPr>
        <w:t xml:space="preserve">El crecimiento de bases de datos digitales generó la necesidad de regular el uso de información personal.</w:t>
      </w:r>
    </w:p>
    <w:p w:rsidR="00000000" w:rsidDel="00000000" w:rsidP="00000000" w:rsidRDefault="00000000" w:rsidRPr="00000000" w14:paraId="0000002F">
      <w:pPr>
        <w:jc w:val="both"/>
        <w:rPr/>
      </w:pPr>
      <w:r w:rsidDel="00000000" w:rsidR="00000000" w:rsidRPr="00000000">
        <w:rPr>
          <w:rtl w:val="0"/>
        </w:rPr>
        <w:t xml:space="preserve">En Argentina, el marco jurídico principal es la:</w:t>
      </w:r>
    </w:p>
    <w:p w:rsidR="00000000" w:rsidDel="00000000" w:rsidP="00000000" w:rsidRDefault="00000000" w:rsidRPr="00000000" w14:paraId="00000030">
      <w:pPr>
        <w:numPr>
          <w:ilvl w:val="0"/>
          <w:numId w:val="1"/>
        </w:numPr>
        <w:ind w:left="720" w:hanging="360"/>
        <w:jc w:val="both"/>
      </w:pPr>
      <w:r w:rsidDel="00000000" w:rsidR="00000000" w:rsidRPr="00000000">
        <w:rPr>
          <w:rtl w:val="0"/>
        </w:rPr>
        <w:t xml:space="preserve">Ley 25.326 de Protección de Datos Personales</w:t>
      </w:r>
    </w:p>
    <w:p w:rsidR="00000000" w:rsidDel="00000000" w:rsidP="00000000" w:rsidRDefault="00000000" w:rsidRPr="00000000" w14:paraId="00000031">
      <w:pPr>
        <w:jc w:val="both"/>
        <w:rPr/>
      </w:pPr>
      <w:r w:rsidDel="00000000" w:rsidR="00000000" w:rsidRPr="00000000">
        <w:rPr>
          <w:rtl w:val="0"/>
        </w:rPr>
        <w:t xml:space="preserve">Esta ley establece principios fundamentales para el tratamiento de datos personales, entre ellos:</w:t>
      </w:r>
    </w:p>
    <w:p w:rsidR="00000000" w:rsidDel="00000000" w:rsidP="00000000" w:rsidRDefault="00000000" w:rsidRPr="00000000" w14:paraId="00000032">
      <w:pPr>
        <w:numPr>
          <w:ilvl w:val="0"/>
          <w:numId w:val="14"/>
        </w:numPr>
        <w:spacing w:after="0" w:afterAutospacing="0"/>
        <w:ind w:left="720" w:hanging="360"/>
        <w:jc w:val="both"/>
      </w:pPr>
      <w:r w:rsidDel="00000000" w:rsidR="00000000" w:rsidRPr="00000000">
        <w:rPr>
          <w:rtl w:val="0"/>
        </w:rPr>
        <w:t xml:space="preserve">consentimiento informado del titular de los datos</w:t>
      </w:r>
    </w:p>
    <w:p w:rsidR="00000000" w:rsidDel="00000000" w:rsidP="00000000" w:rsidRDefault="00000000" w:rsidRPr="00000000" w14:paraId="00000033">
      <w:pPr>
        <w:numPr>
          <w:ilvl w:val="0"/>
          <w:numId w:val="14"/>
        </w:numPr>
        <w:spacing w:after="0" w:afterAutospacing="0" w:before="0" w:beforeAutospacing="0"/>
        <w:ind w:left="720" w:hanging="360"/>
        <w:jc w:val="both"/>
      </w:pPr>
      <w:r w:rsidDel="00000000" w:rsidR="00000000" w:rsidRPr="00000000">
        <w:rPr>
          <w:rtl w:val="0"/>
        </w:rPr>
        <w:t xml:space="preserve">finalidad específica en el uso de la información</w:t>
      </w:r>
    </w:p>
    <w:p w:rsidR="00000000" w:rsidDel="00000000" w:rsidP="00000000" w:rsidRDefault="00000000" w:rsidRPr="00000000" w14:paraId="00000034">
      <w:pPr>
        <w:numPr>
          <w:ilvl w:val="0"/>
          <w:numId w:val="14"/>
        </w:numPr>
        <w:spacing w:after="0" w:afterAutospacing="0" w:before="0" w:beforeAutospacing="0"/>
        <w:ind w:left="720" w:hanging="360"/>
        <w:jc w:val="both"/>
      </w:pPr>
      <w:r w:rsidDel="00000000" w:rsidR="00000000" w:rsidRPr="00000000">
        <w:rPr>
          <w:rtl w:val="0"/>
        </w:rPr>
        <w:t xml:space="preserve">derecho de acceso, rectificación y supresión de datos</w:t>
      </w:r>
    </w:p>
    <w:p w:rsidR="00000000" w:rsidDel="00000000" w:rsidP="00000000" w:rsidRDefault="00000000" w:rsidRPr="00000000" w14:paraId="00000035">
      <w:pPr>
        <w:numPr>
          <w:ilvl w:val="0"/>
          <w:numId w:val="14"/>
        </w:numPr>
        <w:spacing w:before="0" w:beforeAutospacing="0"/>
        <w:ind w:left="720" w:hanging="360"/>
        <w:jc w:val="both"/>
      </w:pPr>
      <w:r w:rsidDel="00000000" w:rsidR="00000000" w:rsidRPr="00000000">
        <w:rPr>
          <w:rtl w:val="0"/>
        </w:rPr>
        <w:t xml:space="preserve">seguridad en el almacenamiento de información</w:t>
      </w:r>
    </w:p>
    <w:p w:rsidR="00000000" w:rsidDel="00000000" w:rsidP="00000000" w:rsidRDefault="00000000" w:rsidRPr="00000000" w14:paraId="00000036">
      <w:pPr>
        <w:jc w:val="both"/>
        <w:rPr/>
      </w:pPr>
      <w:r w:rsidDel="00000000" w:rsidR="00000000" w:rsidRPr="00000000">
        <w:rPr>
          <w:rtl w:val="0"/>
        </w:rPr>
        <w:t xml:space="preserve">La norma también creó un organismo estatal encargado de supervisar su cumplimiento:</w:t>
      </w:r>
    </w:p>
    <w:p w:rsidR="00000000" w:rsidDel="00000000" w:rsidP="00000000" w:rsidRDefault="00000000" w:rsidRPr="00000000" w14:paraId="00000037">
      <w:pPr>
        <w:numPr>
          <w:ilvl w:val="0"/>
          <w:numId w:val="5"/>
        </w:numPr>
        <w:ind w:left="720" w:hanging="360"/>
        <w:jc w:val="both"/>
      </w:pPr>
      <w:r w:rsidDel="00000000" w:rsidR="00000000" w:rsidRPr="00000000">
        <w:rPr>
          <w:rtl w:val="0"/>
        </w:rPr>
        <w:t xml:space="preserve">Agencia de Acceso a la Información Pública</w:t>
      </w:r>
    </w:p>
    <w:p w:rsidR="00000000" w:rsidDel="00000000" w:rsidP="00000000" w:rsidRDefault="00000000" w:rsidRPr="00000000" w14:paraId="00000038">
      <w:pPr>
        <w:jc w:val="both"/>
        <w:rPr/>
      </w:pPr>
      <w:r w:rsidDel="00000000" w:rsidR="00000000" w:rsidRPr="00000000">
        <w:rPr>
          <w:rtl w:val="0"/>
        </w:rPr>
        <w:t xml:space="preserve">Este marco legal resulta especialmente relevante en contextos tecnológicos como:</w:t>
      </w:r>
    </w:p>
    <w:p w:rsidR="00000000" w:rsidDel="00000000" w:rsidP="00000000" w:rsidRDefault="00000000" w:rsidRPr="00000000" w14:paraId="00000039">
      <w:pPr>
        <w:numPr>
          <w:ilvl w:val="0"/>
          <w:numId w:val="6"/>
        </w:numPr>
        <w:spacing w:after="0" w:afterAutospacing="0"/>
        <w:ind w:left="720" w:hanging="360"/>
        <w:jc w:val="both"/>
      </w:pPr>
      <w:r w:rsidDel="00000000" w:rsidR="00000000" w:rsidRPr="00000000">
        <w:rPr>
          <w:rtl w:val="0"/>
        </w:rPr>
        <w:t xml:space="preserve">redes sociales</w:t>
      </w:r>
    </w:p>
    <w:p w:rsidR="00000000" w:rsidDel="00000000" w:rsidP="00000000" w:rsidRDefault="00000000" w:rsidRPr="00000000" w14:paraId="0000003A">
      <w:pPr>
        <w:numPr>
          <w:ilvl w:val="0"/>
          <w:numId w:val="6"/>
        </w:numPr>
        <w:spacing w:after="0" w:afterAutospacing="0" w:before="0" w:beforeAutospacing="0"/>
        <w:ind w:left="720" w:hanging="360"/>
        <w:jc w:val="both"/>
      </w:pPr>
      <w:r w:rsidDel="00000000" w:rsidR="00000000" w:rsidRPr="00000000">
        <w:rPr>
          <w:rtl w:val="0"/>
        </w:rPr>
        <w:t xml:space="preserve">bases de datos comerciales</w:t>
      </w:r>
    </w:p>
    <w:p w:rsidR="00000000" w:rsidDel="00000000" w:rsidP="00000000" w:rsidRDefault="00000000" w:rsidRPr="00000000" w14:paraId="0000003B">
      <w:pPr>
        <w:numPr>
          <w:ilvl w:val="0"/>
          <w:numId w:val="6"/>
        </w:numPr>
        <w:spacing w:after="0" w:afterAutospacing="0" w:before="0" w:beforeAutospacing="0"/>
        <w:ind w:left="720" w:hanging="360"/>
        <w:jc w:val="both"/>
      </w:pPr>
      <w:r w:rsidDel="00000000" w:rsidR="00000000" w:rsidRPr="00000000">
        <w:rPr>
          <w:rtl w:val="0"/>
        </w:rPr>
        <w:t xml:space="preserve">sistemas de inteligencia artificial</w:t>
      </w:r>
    </w:p>
    <w:p w:rsidR="00000000" w:rsidDel="00000000" w:rsidP="00000000" w:rsidRDefault="00000000" w:rsidRPr="00000000" w14:paraId="0000003C">
      <w:pPr>
        <w:numPr>
          <w:ilvl w:val="0"/>
          <w:numId w:val="6"/>
        </w:numPr>
        <w:spacing w:before="0" w:beforeAutospacing="0"/>
        <w:ind w:left="720" w:hanging="360"/>
        <w:jc w:val="both"/>
      </w:pPr>
      <w:r w:rsidDel="00000000" w:rsidR="00000000" w:rsidRPr="00000000">
        <w:rPr>
          <w:rtl w:val="0"/>
        </w:rPr>
        <w:t xml:space="preserve">plataformas digitales</w:t>
      </w:r>
    </w:p>
    <w:p w:rsidR="00000000" w:rsidDel="00000000" w:rsidP="00000000" w:rsidRDefault="00000000" w:rsidRPr="00000000" w14:paraId="0000003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1"/>
        <w:keepNext w:val="0"/>
        <w:keepLines w:val="0"/>
        <w:spacing w:before="480" w:lineRule="auto"/>
        <w:jc w:val="both"/>
        <w:rPr>
          <w:b w:val="1"/>
          <w:bCs w:val="1"/>
          <w:sz w:val="46"/>
          <w:szCs w:val="46"/>
        </w:rPr>
      </w:pPr>
      <w:bookmarkStart w:colFirst="0" w:colLast="0" w:name="_f9skih9zk31s" w:id="12"/>
      <w:bookmarkEnd w:id="12"/>
      <w:r w:rsidDel="00000000" w:rsidR="00000000" w:rsidRPr="00000000">
        <w:rPr>
          <w:b w:val="1"/>
          <w:bCs w:val="1"/>
          <w:sz w:val="46"/>
          <w:szCs w:val="46"/>
          <w:rtl w:val="0"/>
        </w:rPr>
        <w:t xml:space="preserve">4. Derecho al olvido en internet</w:t>
      </w:r>
    </w:p>
    <w:p w:rsidR="00000000" w:rsidDel="00000000" w:rsidP="00000000" w:rsidRDefault="00000000" w:rsidRPr="00000000" w14:paraId="0000003F">
      <w:pPr>
        <w:jc w:val="both"/>
        <w:rPr/>
      </w:pPr>
      <w:r w:rsidDel="00000000" w:rsidR="00000000" w:rsidRPr="00000000">
        <w:rPr>
          <w:rtl w:val="0"/>
        </w:rPr>
        <w:t xml:space="preserve">Uno de los debates más actuales del derecho digital es el llamado </w:t>
      </w:r>
      <w:r w:rsidDel="00000000" w:rsidR="00000000" w:rsidRPr="00000000">
        <w:rPr>
          <w:b w:val="1"/>
          <w:bCs w:val="1"/>
          <w:rtl w:val="0"/>
        </w:rPr>
        <w:t xml:space="preserve">“derecho al olvido”</w:t>
      </w:r>
      <w:r w:rsidDel="00000000" w:rsidR="00000000" w:rsidRPr="00000000">
        <w:rPr>
          <w:rtl w:val="0"/>
        </w:rPr>
        <w:t xml:space="preserve">.</w:t>
      </w:r>
    </w:p>
    <w:p w:rsidR="00000000" w:rsidDel="00000000" w:rsidP="00000000" w:rsidRDefault="00000000" w:rsidRPr="00000000" w14:paraId="00000040">
      <w:pPr>
        <w:jc w:val="both"/>
        <w:rPr/>
      </w:pPr>
      <w:r w:rsidDel="00000000" w:rsidR="00000000" w:rsidRPr="00000000">
        <w:rPr>
          <w:rtl w:val="0"/>
        </w:rPr>
        <w:t xml:space="preserve">Este concepto se refiere a la posibilidad de que una persona solicite la eliminación o desindexación de información personal disponible en internet cuando:</w:t>
      </w:r>
    </w:p>
    <w:p w:rsidR="00000000" w:rsidDel="00000000" w:rsidP="00000000" w:rsidRDefault="00000000" w:rsidRPr="00000000" w14:paraId="00000041">
      <w:pPr>
        <w:numPr>
          <w:ilvl w:val="0"/>
          <w:numId w:val="8"/>
        </w:numPr>
        <w:spacing w:after="0" w:afterAutospacing="0"/>
        <w:ind w:left="720" w:hanging="360"/>
        <w:jc w:val="both"/>
      </w:pPr>
      <w:r w:rsidDel="00000000" w:rsidR="00000000" w:rsidRPr="00000000">
        <w:rPr>
          <w:rtl w:val="0"/>
        </w:rPr>
        <w:t xml:space="preserve">resulta desactualizada</w:t>
      </w:r>
    </w:p>
    <w:p w:rsidR="00000000" w:rsidDel="00000000" w:rsidP="00000000" w:rsidRDefault="00000000" w:rsidRPr="00000000" w14:paraId="00000042">
      <w:pPr>
        <w:numPr>
          <w:ilvl w:val="0"/>
          <w:numId w:val="8"/>
        </w:numPr>
        <w:spacing w:after="0" w:afterAutospacing="0" w:before="0" w:beforeAutospacing="0"/>
        <w:ind w:left="720" w:hanging="360"/>
        <w:jc w:val="both"/>
      </w:pPr>
      <w:r w:rsidDel="00000000" w:rsidR="00000000" w:rsidRPr="00000000">
        <w:rPr>
          <w:rtl w:val="0"/>
        </w:rPr>
        <w:t xml:space="preserve">afecta su reputación</w:t>
      </w:r>
    </w:p>
    <w:p w:rsidR="00000000" w:rsidDel="00000000" w:rsidP="00000000" w:rsidRDefault="00000000" w:rsidRPr="00000000" w14:paraId="00000043">
      <w:pPr>
        <w:numPr>
          <w:ilvl w:val="0"/>
          <w:numId w:val="8"/>
        </w:numPr>
        <w:spacing w:before="0" w:beforeAutospacing="0"/>
        <w:ind w:left="720" w:hanging="360"/>
        <w:jc w:val="both"/>
      </w:pPr>
      <w:r w:rsidDel="00000000" w:rsidR="00000000" w:rsidRPr="00000000">
        <w:rPr>
          <w:rtl w:val="0"/>
        </w:rPr>
        <w:t xml:space="preserve">carece de interés público actual</w:t>
      </w:r>
    </w:p>
    <w:p w:rsidR="00000000" w:rsidDel="00000000" w:rsidP="00000000" w:rsidRDefault="00000000" w:rsidRPr="00000000" w14:paraId="00000044">
      <w:pPr>
        <w:jc w:val="both"/>
        <w:rPr/>
      </w:pPr>
      <w:r w:rsidDel="00000000" w:rsidR="00000000" w:rsidRPr="00000000">
        <w:rPr>
          <w:rtl w:val="0"/>
        </w:rPr>
        <w:t xml:space="preserve">En Argentina, el debate se relaciona con los principios analizados en el caso:</w:t>
      </w:r>
    </w:p>
    <w:p w:rsidR="00000000" w:rsidDel="00000000" w:rsidP="00000000" w:rsidRDefault="00000000" w:rsidRPr="00000000" w14:paraId="00000045">
      <w:pPr>
        <w:numPr>
          <w:ilvl w:val="0"/>
          <w:numId w:val="12"/>
        </w:numPr>
        <w:ind w:left="720" w:hanging="360"/>
        <w:jc w:val="both"/>
      </w:pPr>
      <w:r w:rsidDel="00000000" w:rsidR="00000000" w:rsidRPr="00000000">
        <w:rPr>
          <w:rtl w:val="0"/>
        </w:rPr>
        <w:t xml:space="preserve">Rodríguez, María Belén c/ Google Inc.</w:t>
      </w:r>
    </w:p>
    <w:p w:rsidR="00000000" w:rsidDel="00000000" w:rsidP="00000000" w:rsidRDefault="00000000" w:rsidRPr="00000000" w14:paraId="00000046">
      <w:pPr>
        <w:jc w:val="both"/>
        <w:rPr/>
      </w:pPr>
      <w:r w:rsidDel="00000000" w:rsidR="00000000" w:rsidRPr="00000000">
        <w:rPr>
          <w:rtl w:val="0"/>
        </w:rPr>
        <w:t xml:space="preserve">y con la evolución de la jurisprudencia comparada, especialmente en la Unión Europea.</w:t>
      </w:r>
    </w:p>
    <w:p w:rsidR="00000000" w:rsidDel="00000000" w:rsidP="00000000" w:rsidRDefault="00000000" w:rsidRPr="00000000" w14:paraId="0000004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jc w:val="both"/>
        <w:rPr>
          <w:b w:val="1"/>
          <w:bCs w:val="1"/>
          <w:sz w:val="46"/>
          <w:szCs w:val="46"/>
        </w:rPr>
      </w:pPr>
      <w:bookmarkStart w:colFirst="0" w:colLast="0" w:name="_2uf6qx3l7mwz" w:id="13"/>
      <w:bookmarkEnd w:id="13"/>
      <w:r w:rsidDel="00000000" w:rsidR="00000000" w:rsidRPr="00000000">
        <w:rPr>
          <w:b w:val="1"/>
          <w:bCs w:val="1"/>
          <w:sz w:val="46"/>
          <w:szCs w:val="46"/>
          <w:rtl w:val="0"/>
        </w:rPr>
        <w:t xml:space="preserve">5. Plataformas digitales y libertad de expresión</w:t>
      </w:r>
    </w:p>
    <w:p w:rsidR="00000000" w:rsidDel="00000000" w:rsidP="00000000" w:rsidRDefault="00000000" w:rsidRPr="00000000" w14:paraId="00000049">
      <w:pPr>
        <w:jc w:val="both"/>
        <w:rPr/>
      </w:pPr>
      <w:r w:rsidDel="00000000" w:rsidR="00000000" w:rsidRPr="00000000">
        <w:rPr>
          <w:rtl w:val="0"/>
        </w:rPr>
        <w:t xml:space="preserve">Las redes sociales y plataformas digitales se han convertido en espacios centrales para el ejercicio de la libertad de expresión.</w:t>
      </w:r>
    </w:p>
    <w:p w:rsidR="00000000" w:rsidDel="00000000" w:rsidP="00000000" w:rsidRDefault="00000000" w:rsidRPr="00000000" w14:paraId="0000004A">
      <w:pPr>
        <w:jc w:val="both"/>
        <w:rPr/>
      </w:pPr>
      <w:r w:rsidDel="00000000" w:rsidR="00000000" w:rsidRPr="00000000">
        <w:rPr>
          <w:rtl w:val="0"/>
        </w:rPr>
        <w:t xml:space="preserve">Sin embargo, plantean nuevos interrogantes jurídicos:</w:t>
      </w:r>
    </w:p>
    <w:p w:rsidR="00000000" w:rsidDel="00000000" w:rsidP="00000000" w:rsidRDefault="00000000" w:rsidRPr="00000000" w14:paraId="0000004B">
      <w:pPr>
        <w:numPr>
          <w:ilvl w:val="0"/>
          <w:numId w:val="7"/>
        </w:numPr>
        <w:spacing w:after="0" w:afterAutospacing="0"/>
        <w:ind w:left="720" w:hanging="360"/>
        <w:jc w:val="both"/>
      </w:pPr>
      <w:r w:rsidDel="00000000" w:rsidR="00000000" w:rsidRPr="00000000">
        <w:rPr>
          <w:rtl w:val="0"/>
        </w:rPr>
        <w:t xml:space="preserve">¿Las plataformas deben moderar contenidos?</w:t>
      </w:r>
    </w:p>
    <w:p w:rsidR="00000000" w:rsidDel="00000000" w:rsidP="00000000" w:rsidRDefault="00000000" w:rsidRPr="00000000" w14:paraId="0000004C">
      <w:pPr>
        <w:numPr>
          <w:ilvl w:val="0"/>
          <w:numId w:val="7"/>
        </w:numPr>
        <w:spacing w:after="0" w:afterAutospacing="0" w:before="0" w:beforeAutospacing="0"/>
        <w:ind w:left="720" w:hanging="360"/>
        <w:jc w:val="both"/>
      </w:pPr>
      <w:r w:rsidDel="00000000" w:rsidR="00000000" w:rsidRPr="00000000">
        <w:rPr>
          <w:rtl w:val="0"/>
        </w:rPr>
        <w:t xml:space="preserve">¿Hasta qué punto pueden eliminar publicaciones?</w:t>
      </w:r>
    </w:p>
    <w:p w:rsidR="00000000" w:rsidDel="00000000" w:rsidP="00000000" w:rsidRDefault="00000000" w:rsidRPr="00000000" w14:paraId="0000004D">
      <w:pPr>
        <w:numPr>
          <w:ilvl w:val="0"/>
          <w:numId w:val="7"/>
        </w:numPr>
        <w:spacing w:before="0" w:beforeAutospacing="0"/>
        <w:ind w:left="720" w:hanging="360"/>
        <w:jc w:val="both"/>
      </w:pPr>
      <w:r w:rsidDel="00000000" w:rsidR="00000000" w:rsidRPr="00000000">
        <w:rPr>
          <w:rtl w:val="0"/>
        </w:rPr>
        <w:t xml:space="preserve">¿Quién decide qué contenidos son aceptables?</w:t>
      </w:r>
    </w:p>
    <w:p w:rsidR="00000000" w:rsidDel="00000000" w:rsidP="00000000" w:rsidRDefault="00000000" w:rsidRPr="00000000" w14:paraId="0000004E">
      <w:pPr>
        <w:jc w:val="both"/>
        <w:rPr/>
      </w:pPr>
      <w:r w:rsidDel="00000000" w:rsidR="00000000" w:rsidRPr="00000000">
        <w:rPr>
          <w:rtl w:val="0"/>
        </w:rPr>
        <w:t xml:space="preserve">Estas cuestiones involucran un delicado equilibrio entre:</w:t>
      </w:r>
    </w:p>
    <w:p w:rsidR="00000000" w:rsidDel="00000000" w:rsidP="00000000" w:rsidRDefault="00000000" w:rsidRPr="00000000" w14:paraId="0000004F">
      <w:pPr>
        <w:numPr>
          <w:ilvl w:val="0"/>
          <w:numId w:val="3"/>
        </w:numPr>
        <w:spacing w:after="0" w:afterAutospacing="0"/>
        <w:ind w:left="720" w:hanging="360"/>
        <w:jc w:val="both"/>
      </w:pPr>
      <w:r w:rsidDel="00000000" w:rsidR="00000000" w:rsidRPr="00000000">
        <w:rPr>
          <w:rtl w:val="0"/>
        </w:rPr>
        <w:t xml:space="preserve">libertad de expresión</w:t>
      </w:r>
    </w:p>
    <w:p w:rsidR="00000000" w:rsidDel="00000000" w:rsidP="00000000" w:rsidRDefault="00000000" w:rsidRPr="00000000" w14:paraId="00000050">
      <w:pPr>
        <w:numPr>
          <w:ilvl w:val="0"/>
          <w:numId w:val="3"/>
        </w:numPr>
        <w:spacing w:after="0" w:afterAutospacing="0" w:before="0" w:beforeAutospacing="0"/>
        <w:ind w:left="720" w:hanging="360"/>
        <w:jc w:val="both"/>
      </w:pPr>
      <w:r w:rsidDel="00000000" w:rsidR="00000000" w:rsidRPr="00000000">
        <w:rPr>
          <w:rtl w:val="0"/>
        </w:rPr>
        <w:t xml:space="preserve">protección de la dignidad y reputación de las personas</w:t>
      </w:r>
    </w:p>
    <w:p w:rsidR="00000000" w:rsidDel="00000000" w:rsidP="00000000" w:rsidRDefault="00000000" w:rsidRPr="00000000" w14:paraId="00000051">
      <w:pPr>
        <w:numPr>
          <w:ilvl w:val="0"/>
          <w:numId w:val="3"/>
        </w:numPr>
        <w:spacing w:before="0" w:beforeAutospacing="0"/>
        <w:ind w:left="720" w:hanging="360"/>
        <w:jc w:val="both"/>
      </w:pPr>
      <w:r w:rsidDel="00000000" w:rsidR="00000000" w:rsidRPr="00000000">
        <w:rPr>
          <w:rtl w:val="0"/>
        </w:rPr>
        <w:t xml:space="preserve">regulación estatal del entorno digital</w:t>
      </w:r>
    </w:p>
    <w:p w:rsidR="00000000" w:rsidDel="00000000" w:rsidP="00000000" w:rsidRDefault="00000000" w:rsidRPr="00000000" w14:paraId="00000052">
      <w:pPr>
        <w:jc w:val="both"/>
        <w:rPr/>
      </w:pPr>
      <w:r w:rsidDel="00000000" w:rsidR="00000000" w:rsidRPr="00000000">
        <w:rPr>
          <w:rtl w:val="0"/>
        </w:rPr>
        <w:t xml:space="preserve">Los tribunales de distintos países continúan desarrollando criterios para resolver estos conflictos.</w:t>
      </w:r>
    </w:p>
    <w:p w:rsidR="00000000" w:rsidDel="00000000" w:rsidP="00000000" w:rsidRDefault="00000000" w:rsidRPr="00000000" w14:paraId="00000053">
      <w:pPr>
        <w:jc w:val="both"/>
        <w:rPr/>
      </w:pPr>
      <w:r w:rsidDel="00000000" w:rsidR="00000000" w:rsidRPr="00000000">
        <w:rPr>
          <w:rtl w:val="0"/>
        </w:rPr>
      </w:r>
    </w:p>
    <w:sectPr>
      <w:headerReference r:id="rId6" w:type="default"/>
      <w:footerReference r:id="rId7" w:type="default"/>
      <w:pgSz w:h="16838" w:w="11906" w:orient="portrait"/>
      <w:pgMar w:bottom="1133.8582677165355" w:top="2834.645669291339" w:left="2834.645669291339"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 </w:t>
    </w:r>
    <w:r w:rsidDel="00000000" w:rsidR="00000000" w:rsidRPr="00000000">
      <w:rPr>
        <w:b w:val="1"/>
        <w:bCs w:val="1"/>
        <w:sz w:val="20"/>
        <w:szCs w:val="20"/>
      </w:rPr>
      <w:fldChar w:fldCharType="begin"/>
      <w:instrText xml:space="preserve">PAGE</w:instrText>
      <w:fldChar w:fldCharType="separate"/>
      <w:fldChar w:fldCharType="end"/>
    </w:r>
    <w:r w:rsidDel="00000000" w:rsidR="00000000" w:rsidRPr="00000000">
      <w:rPr>
        <w:b w:val="1"/>
        <w:bCs w:val="1"/>
        <w:sz w:val="20"/>
        <w:szCs w:val="20"/>
        <w:rtl w:val="0"/>
      </w:rPr>
      <w:t xml:space="preserve"> -</w:t>
    </w:r>
  </w:p>
  <w:p w:rsidR="00000000" w:rsidDel="00000000" w:rsidP="00000000" w:rsidRDefault="00000000" w:rsidRPr="00000000" w14:paraId="00000056">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LEGISLACIÓN</w:t>
    </w:r>
  </w:p>
  <w:p w:rsidR="00000000" w:rsidDel="00000000" w:rsidP="00000000" w:rsidRDefault="00000000" w:rsidRPr="00000000" w14:paraId="00000057">
    <w:pPr>
      <w:spacing w:line="240" w:lineRule="auto"/>
      <w:ind w:left="-1842.51968503937" w:firstLine="0"/>
      <w:jc w:val="center"/>
      <w:rPr/>
    </w:pPr>
    <w:r w:rsidDel="00000000" w:rsidR="00000000" w:rsidRPr="00000000">
      <w:rPr>
        <w:b w:val="1"/>
        <w:bCs w:val="1"/>
        <w:sz w:val="20"/>
        <w:szCs w:val="20"/>
        <w:rtl w:val="0"/>
      </w:rPr>
      <w:t xml:space="preserve">Extensión Áulica UTN Necochea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right"/>
      <w:rPr/>
    </w:pPr>
    <w:r w:rsidDel="00000000" w:rsidR="00000000" w:rsidRPr="00000000">
      <w:rPr/>
      <w:drawing>
        <wp:inline distB="114300" distT="114300" distL="114300" distR="114300">
          <wp:extent cx="284797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797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4"/>
        <w:szCs w:val="24"/>
        <w:lang w:val="es_419"/>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